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4" w:space="1" w:color="000000"/>
        </w:pBdr>
        <w:bidi w:val="0"/>
        <w:jc w:val="left"/>
        <w:rPr/>
      </w:pPr>
      <w:bookmarkStart w:id="0" w:name="cogt-20260630.htm"/>
      <w:bookmarkStart w:id="1" w:name="kscogt20260630"/>
      <w:bookmarkEnd w:id="0"/>
      <w:bookmarkEnd w:id="1"/>
      <w:r>
        <w:rPr/>
        <w:t> </w:t>
      </w:r>
    </w:p>
    <w:p>
      <w:pPr>
        <w:pStyle w:val="TextBody"/>
        <w:bidi w:val="0"/>
        <w:spacing w:before="4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80" w:after="283"/>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p>
      <w:pPr>
        <w:pStyle w:val="TextBody"/>
        <w:bidi w:val="0"/>
        <w:spacing w:before="80" w:after="283"/>
        <w:jc w:val="left"/>
        <w:rPr/>
      </w:pPr>
      <w:r>
        <w:rPr>
          <w:color w:val="000000"/>
        </w:rPr>
        <w:t xml:space="preserve">☒ </w:t>
      </w:r>
      <w:r>
        <w:rPr>
          <w:rFonts w:ascii="Times New Roman" w:hAnsi="Times New Roman"/>
          <w:b/>
          <w:color w:val="000000"/>
          <w:sz w:val="20"/>
        </w:rPr>
        <w:t>QUARTERLY REPORT PURSUANT TO SECTION 13 OR 15(d)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For the quarterly period ended June 30, 2026</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spacing w:before="80" w:after="283"/>
        <w:jc w:val="left"/>
        <w:rPr/>
      </w:pPr>
      <w:r>
        <w:rPr>
          <w:color w:val="000000"/>
        </w:rPr>
        <w:t xml:space="preserve">☐ </w:t>
      </w:r>
      <w:r>
        <w:rPr>
          <w:rFonts w:ascii="Times New Roman" w:hAnsi="Times New Roman"/>
          <w:b/>
          <w:color w:val="000000"/>
          <w:sz w:val="20"/>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Commission File Number: 001-38443</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80" w:after="283"/>
        <w:jc w:val="center"/>
        <w:rPr>
          <w:rFonts w:ascii="Times New Roman" w:hAnsi="Times New Roman"/>
          <w:sz w:val="20"/>
        </w:rPr>
      </w:pPr>
      <w:r>
        <w:rPr>
          <w:rFonts w:ascii="Times New Roman" w:hAnsi="Times New Roman"/>
          <w:b/>
          <w:color w:val="000000"/>
          <w:sz w:val="48"/>
        </w:rPr>
        <w:t>Cogent Biosciences,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left"/>
        <w:rPr/>
      </w:pPr>
      <w:r>
        <w:rPr/>
        <w:t> </w:t>
      </w:r>
    </w:p>
    <w:tbl>
      <w:tblPr>
        <w:tblW w:w="4333" w:type="dxa"/>
        <w:jc w:val="left"/>
        <w:tblInd w:w="0" w:type="dxa"/>
        <w:tblLayout w:type="fixed"/>
        <w:tblCellMar>
          <w:top w:w="28" w:type="dxa"/>
          <w:left w:w="28" w:type="dxa"/>
          <w:bottom w:w="28" w:type="dxa"/>
          <w:right w:w="28" w:type="dxa"/>
        </w:tblCellMar>
      </w:tblPr>
      <w:tblGrid>
        <w:gridCol w:w="2371"/>
        <w:gridCol w:w="146"/>
        <w:gridCol w:w="181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46-5308248</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Number)</w:t>
            </w:r>
          </w:p>
        </w:tc>
      </w:tr>
    </w:tbl>
    <w:p>
      <w:pPr>
        <w:pStyle w:val="TextBody"/>
        <w:bidi w:val="0"/>
        <w:jc w:val="left"/>
        <w:rPr/>
      </w:pPr>
      <w:r>
        <w:rPr/>
        <w:t> </w:t>
      </w:r>
    </w:p>
    <w:tbl>
      <w:tblPr>
        <w:tblW w:w="3958" w:type="dxa"/>
        <w:jc w:val="left"/>
        <w:tblInd w:w="0" w:type="dxa"/>
        <w:tblLayout w:type="fixed"/>
        <w:tblCellMar>
          <w:top w:w="28" w:type="dxa"/>
          <w:left w:w="28" w:type="dxa"/>
          <w:bottom w:w="28" w:type="dxa"/>
          <w:right w:w="28" w:type="dxa"/>
        </w:tblCellMar>
      </w:tblPr>
      <w:tblGrid>
        <w:gridCol w:w="2926"/>
        <w:gridCol w:w="146"/>
        <w:gridCol w:w="886"/>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180 Third Avenue, 4th Floor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Waltham, Massachusetts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02451</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(617)</w:t>
      </w:r>
      <w:r>
        <w:rPr>
          <w:rFonts w:ascii="Times New Roman" w:hAnsi="Times New Roman"/>
          <w:color w:val="000000"/>
          <w:sz w:val="20"/>
        </w:rPr>
        <w:t xml:space="preserve"> </w:t>
      </w:r>
      <w:r>
        <w:rPr>
          <w:rFonts w:ascii="Times New Roman" w:hAnsi="Times New Roman"/>
          <w:b/>
          <w:color w:val="000000"/>
          <w:sz w:val="20"/>
        </w:rPr>
        <w:t>945-5576</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275 Wyman Street, 3rd Floor</w:t>
      </w:r>
    </w:p>
    <w:p>
      <w:pPr>
        <w:pStyle w:val="TextBody"/>
        <w:bidi w:val="0"/>
        <w:jc w:val="center"/>
        <w:rPr>
          <w:rFonts w:ascii="Times New Roman" w:hAnsi="Times New Roman"/>
          <w:b/>
          <w:color w:val="000000"/>
          <w:sz w:val="18"/>
        </w:rPr>
      </w:pPr>
      <w:r>
        <w:rPr>
          <w:rFonts w:ascii="Times New Roman" w:hAnsi="Times New Roman"/>
          <w:b/>
          <w:color w:val="000000"/>
          <w:sz w:val="18"/>
        </w:rPr>
        <w:t>Waltham, Massachusetts</w:t>
      </w:r>
    </w:p>
    <w:p>
      <w:pPr>
        <w:pStyle w:val="TextBody"/>
        <w:bidi w:val="0"/>
        <w:jc w:val="center"/>
        <w:rPr>
          <w:rFonts w:ascii="Times New Roman" w:hAnsi="Times New Roman"/>
          <w:b/>
          <w:color w:val="000000"/>
          <w:sz w:val="18"/>
        </w:rPr>
      </w:pPr>
      <w:r>
        <w:rPr>
          <w:rFonts w:ascii="Times New Roman" w:hAnsi="Times New Roman"/>
          <w:b/>
          <w:color w:val="000000"/>
          <w:sz w:val="18"/>
        </w:rPr>
        <w:t>(Former name or former address, if changed since last report)</w:t>
      </w:r>
    </w:p>
    <w:p>
      <w:pPr>
        <w:pStyle w:val="TextBody"/>
        <w:bidi w:val="0"/>
        <w:spacing w:before="80" w:after="283"/>
        <w:jc w:val="center"/>
        <w:rPr>
          <w:rFonts w:ascii="Times New Roman" w:hAnsi="Times New Roman"/>
          <w:sz w:val="20"/>
        </w:rPr>
      </w:pPr>
      <w:r>
        <w:rPr>
          <w:rFonts w:ascii="Times New Roman" w:hAnsi="Times New Roman"/>
          <w:b/>
          <w:color w:val="000000"/>
          <w:sz w:val="20"/>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090" w:type="dxa"/>
        <w:jc w:val="left"/>
        <w:tblInd w:w="0" w:type="dxa"/>
        <w:tblLayout w:type="fixed"/>
        <w:tblCellMar>
          <w:top w:w="28" w:type="dxa"/>
          <w:left w:w="28" w:type="dxa"/>
          <w:bottom w:w="28" w:type="dxa"/>
          <w:right w:w="28" w:type="dxa"/>
        </w:tblCellMar>
      </w:tblPr>
      <w:tblGrid>
        <w:gridCol w:w="2971"/>
        <w:gridCol w:w="146"/>
        <w:gridCol w:w="826"/>
        <w:gridCol w:w="146"/>
        <w:gridCol w:w="300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r>
      <w:tr>
        <w:trPr/>
        <w:tc>
          <w:tcPr>
            <w:tcW w:w="29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00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Name of each exchange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 which registered</w:t>
            </w:r>
          </w:p>
        </w:tc>
      </w:tr>
      <w:tr>
        <w:trPr/>
        <w:tc>
          <w:tcPr>
            <w:tcW w:w="297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Common Stock, $0.001 Par Value</w:t>
            </w:r>
          </w:p>
        </w:tc>
        <w:tc>
          <w:tcPr>
            <w:tcW w:w="146" w:type="dxa"/>
            <w:tcBorders/>
            <w:tcMar>
              <w:top w:w="0" w:type="dxa"/>
              <w:left w:w="0" w:type="dxa"/>
              <w:bottom w:w="0" w:type="dxa"/>
              <w:right w:w="0" w:type="dxa"/>
            </w:tcMar>
            <w:vAlign w:val="center"/>
          </w:tcPr>
          <w:p>
            <w:pPr>
              <w:pStyle w:val="TableContents"/>
              <w:bidi w:val="0"/>
              <w:spacing w:before="4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COGT</w:t>
            </w:r>
          </w:p>
        </w:tc>
        <w:tc>
          <w:tcPr>
            <w:tcW w:w="146" w:type="dxa"/>
            <w:tcBorders/>
            <w:tcMar>
              <w:top w:w="0" w:type="dxa"/>
              <w:left w:w="0" w:type="dxa"/>
              <w:bottom w:w="0" w:type="dxa"/>
              <w:right w:w="0" w:type="dxa"/>
            </w:tcMar>
            <w:vAlign w:val="center"/>
          </w:tcPr>
          <w:p>
            <w:pPr>
              <w:pStyle w:val="TableContents"/>
              <w:bidi w:val="0"/>
              <w:spacing w:before="40" w:after="283"/>
              <w:jc w:val="center"/>
              <w:rPr/>
            </w:pPr>
            <w:r>
              <w:rPr/>
              <w:t> </w:t>
            </w:r>
          </w:p>
        </w:tc>
        <w:tc>
          <w:tcPr>
            <w:tcW w:w="300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The Nasdaq Global Select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jc w:val="left"/>
        <w:rPr/>
      </w:pPr>
      <w:r>
        <w:rPr/>
        <w:t> </w:t>
      </w:r>
    </w:p>
    <w:tbl>
      <w:tblPr>
        <w:tblW w:w="5055" w:type="dxa"/>
        <w:jc w:val="left"/>
        <w:tblInd w:w="0" w:type="dxa"/>
        <w:tblLayout w:type="fixed"/>
        <w:tblCellMar>
          <w:top w:w="28" w:type="dxa"/>
          <w:left w:w="28" w:type="dxa"/>
          <w:bottom w:w="28" w:type="dxa"/>
          <w:right w:w="28" w:type="dxa"/>
        </w:tblCellMar>
      </w:tblPr>
      <w:tblGrid>
        <w:gridCol w:w="1921"/>
        <w:gridCol w:w="316"/>
        <w:gridCol w:w="14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shell company (as defined in Rule 12b-2 of the Exchange Act). Yes ☐ No ☒ </w:t>
      </w:r>
    </w:p>
    <w:p>
      <w:pPr>
        <w:pStyle w:val="TextBody"/>
        <w:bidi w:val="0"/>
        <w:jc w:val="left"/>
        <w:rPr/>
      </w:pPr>
      <w:r>
        <w:rPr/>
        <w: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As of August 6, 2026, there were 173,524,982 shares of the registrant’s common stock, $0.001 par value per share, outstanding. </w:t>
      </w:r>
    </w:p>
    <w:p>
      <w:pPr>
        <w:pStyle w:val="TextBody"/>
        <w:bidi w:val="0"/>
        <w:jc w:val="left"/>
        <w:rPr/>
      </w:pPr>
      <w:r>
        <w:rPr/>
        <w:t> </w:t>
      </w:r>
    </w:p>
    <w:p>
      <w:pPr>
        <w:pStyle w:val="TextBody"/>
        <w:pBdr>
          <w:top w:val="double" w:sz="4" w:space="1" w:color="000000"/>
        </w:pBdr>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FORWARD-LOOKING STATEMENTS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This Quarterly Report on Form 10-Q contains forward-looking statements, which reflect our current views with respect to, among other things, our operations and financial performance. All statements other than statements of historical facts contained in this Quarterly Report on Form 10-Q, including statements regarding our future results of operations and financial position, anticipated regulatory approval and commercial launch of bezuclastinib, business strategy and plans, and objectives of management for future operations,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some cases, you can identify forward-looking statements by terms such as “may,” “should,” “expects,” “might,” “plans,” “anticipates,” “could,” “intends,” “target,” “projects,” “contemplates,” “believes,” “estimates,” “predicts,” “potential,” “seek,” “would”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Although we believe that the expectations reflected in the forward-looking statements are reasonable, we cannot guarantee that the future results, levels of activity, performance or events and circumstances reflected in the forward-looking statements will be achieved or occur. These forward-looking statements speak only as of the date of this Quarterly Report on Form 10-Q and are subject to a number of risks, uncertainties and assumptions described in Item 1A “Risk Factors.”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Some of the key factors that could cause actual results to differ from our expectations include: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impacts of raising additional capital, including dilution to our existing stockholders, restrictions on our operations or requirements that we relinquish rights to our technologies or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success, cost, and duration of our product development activities and clinical trials, including the enrollment rates in our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of the U.S. Food and Drug Administration’s (“FDA”) review and anticipated approval of our three pending new drug applications for our bezuclastinib product candidate and any other product candidates we may develop;</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obtain and maintain regulatory approval for our bezuclastinib product candidate and any other product candidates we may develop, and any related restrictions, limitations, and/or warnings in the label of an approved product candidate;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potential for our identified research priorities to advance our bezuclastinib product candidate or for our teams to discover and develop additional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ability to license additional intellectual property rights relating to our bezuclastinib product candidate or future product candidates from third-parties and to comply with our existing or future license agreements and/or collaboration agreements;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commercialize our bezuclastinib product candidate and future product candidates in light of the intellectual property rights of others;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obtain funding for our operations, including funding necessary to complete further discovery, development and commercialization of our existing and future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scalability and commercial viability of our manufacturing methods and processes;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commercialization of our product candidates,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attract collaborators with development, regulatory, and commercialization expertise;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future agreements with third parties in connection with the commercialization of our product candidates and any other approved product;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size and growth potential of the markets for our product candidates, and our ability to serve those markets;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rate and degree of market acceptance of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pricing and reimbursement of our product candidates, if approved;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regulatory developments in the United States and foreign countries, including pharmaceutical and biological product marketing regulation;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adverse business and economic conditions including inflationary pressures, general economic slowdown or a recession, high interest rates, changes in monetary policy, banking institution instability, changes in trade policies, including tariffs or other trade-related actions or the threat of such actions, and the prospect of a shutdown of the U.S. federal government;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contract with third-party suppliers and manufacturers and their ability to perform adequately;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development and success of competing therapies that are or may be under development in clinical trials or become available commercially;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attract and retain key scientific and management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satisfy the conditions, covenants, and obligations applicable to our convertible notes;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accuracy of our estimates regarding expenses, future revenue, capital requirements, and needs for additional financing;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use of the proceeds from the private placements, debt issuance, sales of our preferred stock and public offerings of our common stock from time to time;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our ability to obtain and maintain intellectual property protection for our bezuclastinib product candidate and future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While we may elect to update these forward-looking statements at some point in the future, whether as a result of any new information, future events, or otherwise, we have no current intention of doing so except to the extent required by applicable law.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Cogent Biosciences,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tbl>
      <w:tblPr>
        <w:tblW w:w="9258" w:type="dxa"/>
        <w:jc w:val="left"/>
        <w:tblInd w:w="0" w:type="dxa"/>
        <w:tblLayout w:type="fixed"/>
        <w:tblCellMar>
          <w:top w:w="28" w:type="dxa"/>
          <w:left w:w="28" w:type="dxa"/>
          <w:bottom w:w="28" w:type="dxa"/>
          <w:right w:w="28" w:type="dxa"/>
        </w:tblCellMar>
      </w:tblPr>
      <w:tblGrid>
        <w:gridCol w:w="1051"/>
        <w:gridCol w:w="7606"/>
        <w:gridCol w:w="601"/>
      </w:tblGrid>
      <w:tr>
        <w:trPr/>
        <w:tc>
          <w:tcPr>
            <w:tcW w:w="1051" w:type="dxa"/>
            <w:tcBorders/>
            <w:vAlign w:val="center"/>
          </w:tcPr>
          <w:p>
            <w:pPr>
              <w:pStyle w:val="TableContents"/>
              <w:bidi w:val="0"/>
              <w:spacing w:before="0" w:after="283"/>
              <w:jc w:val="left"/>
              <w:rPr>
                <w:sz w:val="4"/>
                <w:szCs w:val="4"/>
              </w:rPr>
            </w:pPr>
            <w:r>
              <w:rPr>
                <w:sz w:val="4"/>
                <w:szCs w:val="4"/>
              </w:rPr>
            </w:r>
          </w:p>
        </w:tc>
        <w:tc>
          <w:tcPr>
            <w:tcW w:w="760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jc w:val="left"/>
              <w:rPr/>
            </w:pPr>
            <w:r>
              <w:rPr/>
              <w:t> </w:t>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1051" w:type="dxa"/>
            <w:tcBorders/>
            <w:tcMar>
              <w:top w:w="0" w:type="dxa"/>
              <w:left w:w="0" w:type="dxa"/>
              <w:bottom w:w="0" w:type="dxa"/>
              <w:right w:w="0" w:type="dxa"/>
            </w:tcMar>
            <w:vAlign w:val="center"/>
          </w:tcPr>
          <w:p>
            <w:pPr>
              <w:pStyle w:val="TableContents"/>
              <w:bidi w:val="0"/>
              <w:spacing w:before="0" w:after="283"/>
              <w:jc w:val="left"/>
              <w:rPr/>
            </w:pPr>
            <w:r>
              <w:rPr/>
              <w:t> </w:t>
            </w:r>
          </w:p>
        </w:tc>
        <w:tc>
          <w:tcPr>
            <w:tcW w:w="7606" w:type="dxa"/>
            <w:tcBorders/>
            <w:tcMar>
              <w:top w:w="0" w:type="dxa"/>
              <w:left w:w="0" w:type="dxa"/>
              <w:bottom w:w="0" w:type="dxa"/>
              <w:right w:w="0" w:type="dxa"/>
            </w:tcMar>
            <w:vAlign w:val="center"/>
          </w:tcPr>
          <w:p>
            <w:pPr>
              <w:pStyle w:val="TableContents"/>
              <w:bidi w:val="0"/>
              <w:spacing w:before="0" w:after="283"/>
              <w:jc w:val="center"/>
              <w:rPr/>
            </w:pPr>
            <w:hyperlink w:anchor="part_ifinancial_information">
              <w:r>
                <w:rPr>
                  <w:rStyle w:val="InternetLink"/>
                  <w:rFonts w:ascii="Times New Roman" w:hAnsi="Times New Roman"/>
                  <w:b/>
                  <w:color w:val="0000FF"/>
                  <w:sz w:val="20"/>
                  <w:u w:val="single"/>
                </w:rPr>
                <w:t>PART I—FINANCIAL INFORMATION</w:t>
              </w:r>
            </w:hyperlink>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1_financial_statements_unaudited">
              <w:r>
                <w:rPr>
                  <w:rStyle w:val="InternetLink"/>
                  <w:rFonts w:ascii="Times New Roman" w:hAnsi="Times New Roman"/>
                  <w:color w:val="0000FF"/>
                  <w:sz w:val="20"/>
                  <w:u w:val="single"/>
                </w:rPr>
                <w:t>Financial Statements (Unaudited)</w:t>
              </w:r>
            </w:hyperlink>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1</w:t>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balance_sheets">
              <w:r>
                <w:rPr>
                  <w:rStyle w:val="InternetLink"/>
                  <w:rFonts w:ascii="Times New Roman" w:hAnsi="Times New Roman"/>
                  <w:color w:val="0000FF"/>
                  <w:sz w:val="20"/>
                  <w:u w:val="single"/>
                </w:rPr>
                <w:t>Condensed Consolidated Balance Sheets</w:t>
              </w:r>
            </w:hyperlink>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1</w:t>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s_operations_compr">
              <w:r>
                <w:rPr>
                  <w:rStyle w:val="InternetLink"/>
                  <w:rFonts w:ascii="Times New Roman" w:hAnsi="Times New Roman"/>
                  <w:color w:val="0000FF"/>
                  <w:sz w:val="20"/>
                  <w:u w:val="single"/>
                </w:rPr>
                <w:t>Condensed Consolidated Statements of Operations and Comprehensive Loss</w:t>
              </w:r>
            </w:hyperlink>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2</w:t>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s_stockholders_equ">
              <w:r>
                <w:rPr>
                  <w:rStyle w:val="InternetLink"/>
                  <w:rFonts w:ascii="Times New Roman" w:hAnsi="Times New Roman"/>
                  <w:color w:val="0000FF"/>
                  <w:sz w:val="20"/>
                  <w:u w:val="single"/>
                </w:rPr>
                <w:t>Condensed Consolidated Statements of Stockholders’ Equity</w:t>
              </w:r>
            </w:hyperlink>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w:t>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s_cash_flows">
              <w:r>
                <w:rPr>
                  <w:rStyle w:val="InternetLink"/>
                  <w:rFonts w:ascii="Times New Roman" w:hAnsi="Times New Roman"/>
                  <w:color w:val="0000FF"/>
                  <w:sz w:val="20"/>
                  <w:u w:val="single"/>
                </w:rPr>
                <w:t>Condensed Consolidated Statements of Cash Flows</w:t>
              </w:r>
            </w:hyperlink>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5</w:t>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notes_to_consolidated_financial_statemen">
              <w:r>
                <w:rPr>
                  <w:rStyle w:val="InternetLink"/>
                  <w:rFonts w:ascii="Times New Roman" w:hAnsi="Times New Roman"/>
                  <w:color w:val="0000FF"/>
                  <w:sz w:val="20"/>
                  <w:u w:val="single"/>
                </w:rPr>
                <w:t>Notes to Unaudited Condensed Consolidated Financial Statements</w:t>
              </w:r>
            </w:hyperlink>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6</w:t>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18</w:t>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28</w:t>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4_controls_procedures">
              <w:r>
                <w:rPr>
                  <w:rStyle w:val="InternetLink"/>
                  <w:rFonts w:ascii="Times New Roman" w:hAnsi="Times New Roman"/>
                  <w:color w:val="0000FF"/>
                  <w:sz w:val="20"/>
                  <w:u w:val="single"/>
                </w:rPr>
                <w:t>Controls and Procedures</w:t>
              </w:r>
            </w:hyperlink>
          </w:p>
        </w:tc>
        <w:tc>
          <w:tcPr>
            <w:tcW w:w="60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29</w:t>
            </w:r>
          </w:p>
        </w:tc>
      </w:tr>
      <w:tr>
        <w:trPr/>
        <w:tc>
          <w:tcPr>
            <w:tcW w:w="1051" w:type="dxa"/>
            <w:tcBorders/>
            <w:tcMar>
              <w:top w:w="0" w:type="dxa"/>
              <w:left w:w="0" w:type="dxa"/>
              <w:bottom w:w="0" w:type="dxa"/>
              <w:right w:w="0" w:type="dxa"/>
            </w:tcMar>
            <w:vAlign w:val="center"/>
          </w:tcPr>
          <w:p>
            <w:pPr>
              <w:pStyle w:val="TableContents"/>
              <w:bidi w:val="0"/>
              <w:spacing w:before="0" w:after="283"/>
              <w:jc w:val="left"/>
              <w:rPr/>
            </w:pPr>
            <w:r>
              <w:rPr/>
              <w:t> </w:t>
            </w:r>
          </w:p>
        </w:tc>
        <w:tc>
          <w:tcPr>
            <w:tcW w:w="7606" w:type="dxa"/>
            <w:tcBorders/>
            <w:tcMar>
              <w:top w:w="0" w:type="dxa"/>
              <w:left w:w="0" w:type="dxa"/>
              <w:bottom w:w="0" w:type="dxa"/>
              <w:right w:w="0" w:type="dxa"/>
            </w:tcMar>
            <w:vAlign w:val="center"/>
          </w:tcPr>
          <w:p>
            <w:pPr>
              <w:pStyle w:val="TableContents"/>
              <w:bidi w:val="0"/>
              <w:spacing w:before="0" w:after="283"/>
              <w:jc w:val="center"/>
              <w:rPr/>
            </w:pPr>
            <w:hyperlink w:anchor="part_iior_information">
              <w:r>
                <w:rPr>
                  <w:rStyle w:val="InternetLink"/>
                  <w:rFonts w:ascii="Times New Roman" w:hAnsi="Times New Roman"/>
                  <w:b/>
                  <w:color w:val="0000FF"/>
                  <w:sz w:val="20"/>
                  <w:u w:val="single"/>
                </w:rPr>
                <w:t>PART II—OTHER INFORMATION</w:t>
              </w:r>
            </w:hyperlink>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1_legal_proceedings">
              <w:r>
                <w:rPr>
                  <w:rStyle w:val="InternetLink"/>
                  <w:rFonts w:ascii="Times New Roman" w:hAnsi="Times New Roman"/>
                  <w:color w:val="0000FF"/>
                  <w:sz w:val="20"/>
                  <w:u w:val="single"/>
                </w:rPr>
                <w:t>Legal Proceedings</w:t>
              </w:r>
            </w:hyperlink>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30</w:t>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1A.</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1a_risk_factors">
              <w:r>
                <w:rPr>
                  <w:rStyle w:val="InternetLink"/>
                  <w:rFonts w:ascii="Times New Roman" w:hAnsi="Times New Roman"/>
                  <w:color w:val="0000FF"/>
                  <w:sz w:val="20"/>
                  <w:u w:val="single"/>
                </w:rPr>
                <w:t>Risk Factors</w:t>
              </w:r>
            </w:hyperlink>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30</w:t>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2_recent_sales_unregistered_securit">
              <w:r>
                <w:rPr>
                  <w:rStyle w:val="InternetLink"/>
                  <w:rFonts w:ascii="Times New Roman" w:hAnsi="Times New Roman"/>
                  <w:color w:val="0000FF"/>
                  <w:sz w:val="20"/>
                  <w:u w:val="single"/>
                </w:rPr>
                <w:t>Recent Sales of Unregistered Securities and Use of Proceeds</w:t>
              </w:r>
            </w:hyperlink>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30</w:t>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30</w:t>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4_mine_safety_disclosures">
              <w:r>
                <w:rPr>
                  <w:rStyle w:val="InternetLink"/>
                  <w:rFonts w:ascii="Times New Roman" w:hAnsi="Times New Roman"/>
                  <w:color w:val="0000FF"/>
                  <w:sz w:val="20"/>
                  <w:u w:val="single"/>
                </w:rPr>
                <w:t>Mine Safety Disclosures</w:t>
              </w:r>
            </w:hyperlink>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30</w:t>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5.</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5_or_information">
              <w:r>
                <w:rPr>
                  <w:rStyle w:val="InternetLink"/>
                  <w:rFonts w:ascii="Times New Roman" w:hAnsi="Times New Roman"/>
                  <w:color w:val="0000FF"/>
                  <w:sz w:val="20"/>
                  <w:u w:val="single"/>
                </w:rPr>
                <w:t>Other Information</w:t>
              </w:r>
            </w:hyperlink>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30</w:t>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6.</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6_exhibits">
              <w:r>
                <w:rPr>
                  <w:rStyle w:val="InternetLink"/>
                  <w:rFonts w:ascii="Times New Roman" w:hAnsi="Times New Roman"/>
                  <w:color w:val="0000FF"/>
                  <w:sz w:val="20"/>
                  <w:u w:val="single"/>
                </w:rPr>
                <w:t>Exhibits</w:t>
              </w:r>
            </w:hyperlink>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32</w:t>
            </w:r>
          </w:p>
        </w:tc>
      </w:tr>
      <w:tr>
        <w:trPr/>
        <w:tc>
          <w:tcPr>
            <w:tcW w:w="8657"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hyperlink w:anchor="signatures">
              <w:r>
                <w:rPr>
                  <w:rStyle w:val="InternetLink"/>
                  <w:rFonts w:ascii="Times New Roman" w:hAnsi="Times New Roman"/>
                  <w:color w:val="0000FF"/>
                  <w:sz w:val="20"/>
                  <w:u w:val="single"/>
                </w:rPr>
                <w:t>Signatures</w:t>
              </w:r>
            </w:hyperlink>
            <w:r>
              <w:rPr>
                <w:rFonts w:ascii="Times New Roman" w:hAnsi="Times New Roman"/>
                <w:color w:val="0000FF"/>
                <w:sz w:val="20"/>
              </w:rPr>
              <w:t xml:space="preserve"> </w:t>
            </w:r>
          </w:p>
        </w:tc>
        <w:tc>
          <w:tcPr>
            <w:tcW w:w="60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33</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financial_information"/>
      <w:bookmarkEnd w:id="2"/>
      <w:r>
        <w:rPr>
          <w:rFonts w:ascii="Times New Roman" w:hAnsi="Times New Roman"/>
          <w:b/>
          <w:color w:val="000000"/>
          <w:sz w:val="20"/>
        </w:rPr>
        <w:t>PART I—FINANCIAL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3" w:name="item_1_financial_statements_unaudited"/>
      <w:bookmarkEnd w:id="3"/>
      <w:r>
        <w:rPr>
          <w:rFonts w:ascii="Times New Roman" w:hAnsi="Times New Roman"/>
          <w:b/>
          <w:color w:val="000000"/>
          <w:sz w:val="20"/>
        </w:rPr>
        <w:t>Item 1. Financial Statements (Unaudited)</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COGENT BIOSCIENCES,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4" w:name="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sz w:val="20"/>
        </w:rPr>
      </w:pPr>
      <w:r>
        <w:rPr>
          <w:rFonts w:ascii="Times New Roman" w:hAnsi="Times New Roman"/>
          <w:i/>
          <w:color w:val="000000"/>
          <w:sz w:val="20"/>
        </w:rPr>
        <w:t>(in thousands, except share and per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(unaudited)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532"/>
        <w:gridCol w:w="146"/>
        <w:gridCol w:w="211"/>
        <w:gridCol w:w="991"/>
        <w:gridCol w:w="166"/>
        <w:gridCol w:w="146"/>
        <w:gridCol w:w="211"/>
        <w:gridCol w:w="991"/>
        <w:gridCol w:w="811"/>
      </w:tblGrid>
      <w:tr>
        <w:trPr/>
        <w:tc>
          <w:tcPr>
            <w:tcW w:w="6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312,012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588,753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804,820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910,355</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18,078</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5,457</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834,546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937,607</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52,902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63,953</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senior notes,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223,457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222,895</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14,355</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302,158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301,236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Preferred stock, $0.001 par value; 8,979,420 shares authorized; no shares issued or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Series A non-voting convertible preferred stock, $0.001 par value; 1,000,000 shares authorized; 39,414 and 67,414 shares issued and outstanding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53,830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Series B non-voting convertible preferred stock, $0.001 par value; 20,580 shares authorized; 4,516 shares issued and outstanding at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35,563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Common stock, $0.001 par value; 300,000,000 shares authorized; 171,598,409 and 160,980,024 shares issued and outstanding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1,734,882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(1,382,177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(1,188,420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532,388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636,371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834,546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937,607</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COGENT BIOSCIENCES,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solidated_statements_operations_compr"/>
      <w:bookmarkEnd w:id="5"/>
      <w:r>
        <w:rPr>
          <w:rFonts w:ascii="Times New Roman" w:hAnsi="Times New Roman"/>
          <w:b/>
          <w:color w:val="000000"/>
          <w:sz w:val="20"/>
        </w:rPr>
        <w:t>CONDENSED CONSOLIDATED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(in thousands, except share and per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(unaudited)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850"/>
        <w:gridCol w:w="196"/>
        <w:gridCol w:w="1006"/>
        <w:gridCol w:w="166"/>
        <w:gridCol w:w="146"/>
        <w:gridCol w:w="196"/>
        <w:gridCol w:w="1006"/>
        <w:gridCol w:w="166"/>
        <w:gridCol w:w="146"/>
        <w:gridCol w:w="196"/>
        <w:gridCol w:w="1006"/>
        <w:gridCol w:w="166"/>
        <w:gridCol w:w="146"/>
        <w:gridCol w:w="196"/>
        <w:gridCol w:w="1006"/>
        <w:gridCol w:w="611"/>
      </w:tblGrid>
      <w:tr>
        <w:trPr/>
        <w:tc>
          <w:tcPr>
            <w:tcW w:w="38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8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70,811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62,203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125,232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25,283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5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102,638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75,582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206,245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150,515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(102,638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(75,582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(206,245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(150,515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5,325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income (expense), net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85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other income, net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(96,405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(73,529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(193,757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(145,515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share, basic and diluted, Series A non-voting convertible preferred stock</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(263.08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Series A non-voting convertible preferred stock outstanding, basic and diluted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67,686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67,788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share, basic and diluted, Series B non-voting convertible preferred stock</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(1,050.27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(1,052.27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Series B non-voting convertible preferred stock outstanding, basic and diluted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6,868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share, basic and diluted, common stock</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common stock outstanding, basic and diluted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171,005,468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114,466,080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166,624,462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114,463,810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loss:</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(73,529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(193,757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(145,515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 (loss):</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unrealized gains (losses) on marketable securities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85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other comprehensive income (loss)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loss</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(96,760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(73,680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(194,882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(145,949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COGENT BIOSCIENCES,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6" w:name="consolidated_statements_stockholders_equ"/>
      <w:bookmarkEnd w:id="6"/>
      <w:r>
        <w:rPr>
          <w:rFonts w:ascii="Times New Roman" w:hAnsi="Times New Roman"/>
          <w:b/>
          <w:color w:val="000000"/>
          <w:sz w:val="20"/>
        </w:rPr>
        <w:t>CONDENSED CONSOLIDATED STATEMENTS OF STOCKHOLDERS’ EQUITY</w:t>
      </w:r>
    </w:p>
    <w:p>
      <w:pPr>
        <w:pStyle w:val="TextBody"/>
        <w:bidi w:val="0"/>
        <w:jc w:val="center"/>
        <w:rPr>
          <w:rFonts w:ascii="Times New Roman" w:hAnsi="Times New Roman"/>
          <w:sz w:val="20"/>
        </w:rPr>
      </w:pPr>
      <w:r>
        <w:rPr>
          <w:rFonts w:ascii="Times New Roman" w:hAnsi="Times New Roman"/>
          <w:i/>
          <w:color w:val="000000"/>
          <w:sz w:val="20"/>
        </w:rPr>
        <w:t>(in thousands, except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(unaudited)</w:t>
      </w:r>
      <w:r>
        <w:rPr>
          <w:rFonts w:ascii="Times New Roman" w:hAnsi="Times New Roman"/>
          <w:color w:val="000000"/>
          <w:sz w:val="20"/>
        </w:rPr>
        <w:t xml:space="preserve"> </w:t>
      </w:r>
    </w:p>
    <w:tbl>
      <w:tblPr>
        <w:tblW w:w="12879" w:type="dxa"/>
        <w:jc w:val="left"/>
        <w:tblInd w:w="0" w:type="dxa"/>
        <w:tblLayout w:type="fixed"/>
        <w:tblCellMar>
          <w:top w:w="28" w:type="dxa"/>
          <w:left w:w="28" w:type="dxa"/>
          <w:bottom w:w="28" w:type="dxa"/>
          <w:right w:w="28" w:type="dxa"/>
        </w:tblCellMar>
      </w:tblPr>
      <w:tblGrid>
        <w:gridCol w:w="1081"/>
        <w:gridCol w:w="146"/>
        <w:gridCol w:w="661"/>
        <w:gridCol w:w="166"/>
        <w:gridCol w:w="196"/>
        <w:gridCol w:w="661"/>
        <w:gridCol w:w="166"/>
        <w:gridCol w:w="146"/>
        <w:gridCol w:w="146"/>
        <w:gridCol w:w="511"/>
        <w:gridCol w:w="146"/>
        <w:gridCol w:w="196"/>
        <w:gridCol w:w="601"/>
        <w:gridCol w:w="146"/>
        <w:gridCol w:w="146"/>
        <w:gridCol w:w="146"/>
        <w:gridCol w:w="1006"/>
        <w:gridCol w:w="146"/>
        <w:gridCol w:w="236"/>
        <w:gridCol w:w="455"/>
        <w:gridCol w:w="146"/>
        <w:gridCol w:w="146"/>
        <w:gridCol w:w="196"/>
        <w:gridCol w:w="826"/>
        <w:gridCol w:w="146"/>
        <w:gridCol w:w="146"/>
        <w:gridCol w:w="377"/>
        <w:gridCol w:w="839"/>
        <w:gridCol w:w="166"/>
        <w:gridCol w:w="146"/>
        <w:gridCol w:w="196"/>
        <w:gridCol w:w="886"/>
        <w:gridCol w:w="166"/>
        <w:gridCol w:w="146"/>
        <w:gridCol w:w="228"/>
        <w:gridCol w:w="808"/>
        <w:gridCol w:w="21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Series A Non-Voting </w:t>
              <w:br/>
              <w:t>Convertible Preferred</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Series B Non-Voting </w:t>
              <w:br/>
              <w:t>Convertible Preferred</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December 31,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67,414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53,830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160,980,024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1,734,882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(1,188,420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636,371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RSU vesting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Issuance of common stock under ATM, net of issuance costs of $1.4</w:t>
            </w:r>
            <w:r>
              <w:rPr>
                <w:rFonts w:ascii="Times New Roman" w:hAnsi="Times New Roman"/>
                <w:color w:val="000000"/>
                <w:sz w:val="20"/>
              </w:rPr>
              <w:t> </w:t>
            </w:r>
            <w:r>
              <w:rPr>
                <w:rFonts w:ascii="Times New Roman" w:hAnsi="Times New Roman"/>
                <w:color w:val="000000"/>
                <w:sz w:val="16"/>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1,340,699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from exercises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670,692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from pre-funded warrant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606,060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Conversion of Series A non-voting preferred stock into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losses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(97,352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(97,352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March 31,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170,773,803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1,828,956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(1,285,772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607,693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from exercises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PSU vesting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losses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(96,405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(96,405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June 30,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171,598,409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1,850,411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(1,382,177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532,388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tbl>
      <w:tblPr>
        <w:tblW w:w="12759" w:type="dxa"/>
        <w:jc w:val="left"/>
        <w:tblInd w:w="0" w:type="dxa"/>
        <w:tblLayout w:type="fixed"/>
        <w:tblCellMar>
          <w:top w:w="28" w:type="dxa"/>
          <w:left w:w="28" w:type="dxa"/>
          <w:bottom w:w="28" w:type="dxa"/>
          <w:right w:w="28" w:type="dxa"/>
        </w:tblCellMar>
      </w:tblPr>
      <w:tblGrid>
        <w:gridCol w:w="1081"/>
        <w:gridCol w:w="146"/>
        <w:gridCol w:w="601"/>
        <w:gridCol w:w="166"/>
        <w:gridCol w:w="196"/>
        <w:gridCol w:w="601"/>
        <w:gridCol w:w="166"/>
        <w:gridCol w:w="146"/>
        <w:gridCol w:w="146"/>
        <w:gridCol w:w="511"/>
        <w:gridCol w:w="146"/>
        <w:gridCol w:w="196"/>
        <w:gridCol w:w="601"/>
        <w:gridCol w:w="146"/>
        <w:gridCol w:w="146"/>
        <w:gridCol w:w="146"/>
        <w:gridCol w:w="1006"/>
        <w:gridCol w:w="146"/>
        <w:gridCol w:w="236"/>
        <w:gridCol w:w="455"/>
        <w:gridCol w:w="146"/>
        <w:gridCol w:w="146"/>
        <w:gridCol w:w="196"/>
        <w:gridCol w:w="826"/>
        <w:gridCol w:w="146"/>
        <w:gridCol w:w="146"/>
        <w:gridCol w:w="377"/>
        <w:gridCol w:w="839"/>
        <w:gridCol w:w="166"/>
        <w:gridCol w:w="146"/>
        <w:gridCol w:w="196"/>
        <w:gridCol w:w="886"/>
        <w:gridCol w:w="166"/>
        <w:gridCol w:w="146"/>
        <w:gridCol w:w="228"/>
        <w:gridCol w:w="808"/>
        <w:gridCol w:w="21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Series A Non-Voting </w:t>
              <w:br/>
              <w:t>Convertible Preferred</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Series B Non-Voting </w:t>
              <w:br/>
              <w:t>Convertible Preferred</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December 31,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70,465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56,515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54,085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110,461,729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1,004,612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(859,483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256,286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Issuance of common stock under ATM, net of issuance costs of $0.7</w:t>
            </w:r>
            <w:r>
              <w:rPr>
                <w:rFonts w:ascii="Times New Roman" w:hAnsi="Times New Roman"/>
                <w:color w:val="000000"/>
                <w:sz w:val="20"/>
              </w:rPr>
              <w:t> </w:t>
            </w:r>
            <w:r>
              <w:rPr>
                <w:rFonts w:ascii="Times New Roman" w:hAnsi="Times New Roman"/>
                <w:color w:val="000000"/>
                <w:sz w:val="16"/>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2,587,992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Conversion of Series A non-voting preferred stock into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691,750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from exercises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losses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(71,986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(71,986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March 31,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67,698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54,080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54,085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113,856,454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1,042,021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(931,469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218,995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Conversion of Series A non-voting preferred stock into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from exercises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losses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(73,529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(73,529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June 30,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67,414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53,830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54,085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113,928,492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1,051,992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(1,004,998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155,036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COGENT BIOSCIENCES,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solidated_statements_cash_flows"/>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52"/>
        <w:gridCol w:w="146"/>
        <w:gridCol w:w="211"/>
        <w:gridCol w:w="841"/>
        <w:gridCol w:w="166"/>
        <w:gridCol w:w="146"/>
        <w:gridCol w:w="211"/>
        <w:gridCol w:w="841"/>
        <w:gridCol w:w="791"/>
      </w:tblGrid>
      <w:tr>
        <w:trPr/>
        <w:tc>
          <w:tcPr>
            <w:tcW w:w="68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(145,515</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operating leases,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amortization (accretion) of premiums (discounts)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debt discount and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fixed asset disposal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(121,053</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(67,883</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Maturities and sales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146,850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78,289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49,291</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under ATM, net of issuance costs of $1.4 million and $0.7 million,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24,250</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pre-funded warrant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upon stock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from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72,197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(decrease)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29,433</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312,428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98,165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127,598</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investing and financing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Series A Preferred Stock into common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2,685</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obtained in exchange for new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exercised for which cash proceeds had not yet been received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discount included in 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3,100</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issuance costs included in 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COGENT BIOSCIENCES,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notes_to_consolidated_financial_statemen"/>
      <w:bookmarkEnd w:id="8"/>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(unaudited)</w:t>
      </w:r>
      <w:r>
        <w:rPr>
          <w:rFonts w:ascii="Times New Roman" w:hAnsi="Times New Roman"/>
          <w:color w:val="000000"/>
          <w:sz w:val="20"/>
        </w:rPr>
        <w:t xml:space="preserve"> </w:t>
      </w:r>
    </w:p>
    <w:p>
      <w:pPr>
        <w:pStyle w:val="TextBody"/>
        <w:bidi w:val="0"/>
        <w:spacing w:before="240" w:after="120"/>
        <w:jc w:val="left"/>
        <w:rPr>
          <w:rFonts w:ascii="Times New Roman" w:hAnsi="Times New Roman"/>
          <w:sz w:val="20"/>
        </w:rPr>
      </w:pPr>
      <w:r>
        <w:rPr>
          <w:rFonts w:ascii="Times New Roman" w:hAnsi="Times New Roman"/>
          <w:b/>
          <w:color w:val="000000"/>
          <w:sz w:val="20"/>
        </w:rPr>
        <w:t>1. Nature of the Business and Basis of Presentation</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Cogent Biosciences, Inc. (“Cogent” or the “Company”) is a clinical-stage biotechnology company focused on developing precision therapies for genetically defined diseases. Cogent’s approach is to design rational precision therapies that treat the underlying cause of disease and improve the lives of patients. Cogent’s most advanced program is bezuclastinib, also known as CGT9486, a highly selective tyrosine kinase inhibitor that is designed to potently inhibit the KIT D816V mutation as well as other mutations in KIT exon 17. In the vast majority of cases, KIT D816V is responsible for driving Systemic Mastocytosis (“SM”), a serious and rare disease caused by unchecked proliferation of mast cells. Exon 17 mutations are also found in patients with advanced gastrointestinal stromal tumors (“GIST”), a type of cancer with strong dependence on oncogenic KIT signaling. Bezuclastinib is a highly selective and potent KIT inhibitor with the potential to provide a new treatment option for these patient populations. The Company is developing bezuclastinib to treat patients living with Non-Advanced Systemic Mastocytosis (“NonAdvSM”), Advanced Systemic Mastocytosis (“AdvSM”), and GIST. The Company is building an internal commercial organization and expects to launch bezuclastinib commercially in the United States in the second half of 2026, pending regulatory approval. The Company has ongoing Phase 1 studies of its CNS-penetrant, selective mutant ErbB2 inhibitor and its potential best-in-class, wild-type-sparing, PI3Kα inhibitor. In addition, the Company’s research team is developing a portfolio of novel targeted therapies to help patients fighting serious, genetically driven diseases targeting mutations in KRAS and JAK2.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subject to risks and uncertainties common to clinical-stage companies in the biotechnology industry, including, but not limited to, development by competitors of new technological innovations, dependence on key personnel, protection of proprietary technology, compliance with government regulations and the ability to secure additional capital to fund operations.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and infrastructure and extensive compliance-reporting capabilities. Even if the Company’s drug development efforts are successful, it is uncertain when, if ever, the Company will realize revenue from product sales.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condensed consolidated financial statements have been prepared on the basis of continuity of operations, realization of assets and the satisfaction of liabilities and commitments in the ordinary course of business. The Company has incurred recurring losses since inception, including a net loss of $193.8 million for the six months ended June 30, 2026. As of June 30, 2026, the Company had an accumulated deficit of $1,382.2 million. The Company expects to continue to generate operating losses in the foreseeable future. As of the issuance date of the interim condensed consolidated financial statements, the Company expects that its cash, cash equivalents and marketable securities will be sufficient to fund its operating expenses and capital expenditure requirements for at least the next 12 months from issuance of the condensed consolidated financial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expects that it will continue to incur significant expenses in connection with its ongoing business activities. The Company will need to seek additional funding through equity offerings, debt financings, collaborations, licensing arrangements or other marketing and distribution arrangements, partnerships, joint ventures, combinations or divestitures of one or more of its assets or businesses. The Company may not be able to obtain financing on acceptable terms, or at all, and the Company may not be able to enter into collaborative arrangements or divest its assets. The terms of any financing may adversely affect the holdings or the rights of the Company’s stockholders. Arrangements with collaborators or others may require the Company to relinquish rights to certain of its technologies or product candidates. If the Company is unable to obtain funding, the Company could be forced to delay, reduce or eliminate its research and development programs or commercialization efforts, which could adversely affect its business prospects, or the Company may be unable to continue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condensed consolidated financial statements have been prepared in conformity with accounting principles generally accepted in the United States of America (“GAAP”).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120" w:after="283"/>
        <w:jc w:val="both"/>
        <w:rPr>
          <w:rFonts w:ascii="Times New Roman" w:hAnsi="Times New Roman"/>
          <w:sz w:val="20"/>
        </w:rPr>
      </w:pPr>
      <w:r>
        <w:rPr>
          <w:rFonts w:ascii="Times New Roman" w:hAnsi="Times New Roman"/>
          <w:b/>
          <w:i/>
          <w:color w:val="000000"/>
          <w:sz w:val="20"/>
        </w:rPr>
        <w:t>Unaudited Interim Financial 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consolidated balance sheet at December 31, 2025 was derived from audited financial statements but does not include all disclosures required by GAAP. The accompanying condensed unaudited consolidated financial statements as of June 30, 2026 and for the three and six months ended June 30, 2026 and 2025 have been prepared by the Company pursuant to the rules and regulations of the Securities and Exchange Commission (“SEC”) for interim financial statements. Certain information and footnote disclosures normally included in the financial statements prepared in accordance with GAAP have been condensed or omitted pursuant to such rules and regulations. These condensed consolidated financial statements should be read in conjunction with the Company’s audited consolidated financial statements and the notes thereto for the year ended December 31, 2025 included in the Company’s Annual Report on Form 10-K on file with the SEC. In the opinion of management, all adjustments, consisting only of normal recurring adjustments necessary for a fair statement of the Company’s financial position as of June 30, 2026 and results of operations for the three and six months ended June 30, 2026 and 2025 and cash flows for the six months ended June 30, 2026 and 2025 have been made. The Company’s results of operations for the three and six months ended June 30, 2026 are not necessarily indicative of the results of operations that may be expected for the year ending December 31, 2026. </w:t>
      </w:r>
    </w:p>
    <w:p>
      <w:pPr>
        <w:pStyle w:val="TextBody"/>
        <w:bidi w:val="0"/>
        <w:spacing w:before="360" w:after="283"/>
        <w:jc w:val="both"/>
        <w:rPr>
          <w:rFonts w:ascii="Times New Roman" w:hAnsi="Times New Roman"/>
          <w:sz w:val="20"/>
        </w:rPr>
      </w:pPr>
      <w:r>
        <w:rPr>
          <w:rFonts w:ascii="Times New Roman" w:hAnsi="Times New Roman"/>
          <w:b/>
          <w:i/>
          <w:color w:val="000000"/>
          <w:sz w:val="20"/>
        </w:rPr>
        <w:t>Principles of Consolidation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condensed consolidated financial statements include the accounts of the Company and its wholly-owned subsidiaries, Mono, Inc. and Kiq Bio LLC. All intercompany accounts and transactions have been eliminated.</w:t>
      </w:r>
    </w:p>
    <w:p>
      <w:pPr>
        <w:pStyle w:val="TextBody"/>
        <w:bidi w:val="0"/>
        <w:spacing w:before="360" w:after="283"/>
        <w:jc w:val="both"/>
        <w:rPr>
          <w:rFonts w:ascii="Times New Roman" w:hAnsi="Times New Roman"/>
          <w:b/>
          <w:i/>
          <w:color w:val="222222"/>
          <w:sz w:val="20"/>
        </w:rPr>
      </w:pPr>
      <w:r>
        <w:rPr>
          <w:rFonts w:ascii="Times New Roman" w:hAnsi="Times New Roman"/>
          <w:b/>
          <w:i/>
          <w:color w:val="222222"/>
          <w:sz w:val="20"/>
        </w:rPr>
        <w:t>Use of Estimates</w:t>
      </w:r>
    </w:p>
    <w:p>
      <w:pPr>
        <w:pStyle w:val="TextBody"/>
        <w:bidi w:val="0"/>
        <w:spacing w:before="120" w:after="283"/>
        <w:jc w:val="both"/>
        <w:rPr>
          <w:rFonts w:ascii="Times New Roman" w:hAnsi="Times New Roman"/>
          <w:sz w:val="20"/>
        </w:rPr>
      </w:pPr>
      <w:r>
        <w:rPr>
          <w:rFonts w:ascii="Times New Roman" w:hAnsi="Times New Roman"/>
          <w:color w:val="222222"/>
          <w:sz w:val="20"/>
        </w:rPr>
        <w:t>The preparation of condensed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expenses during the reporting periods. Significant estimates and assumptions reflected in these condensed consolidated financial statements include, but are not limited to, the accrual of research and development expenses</w:t>
      </w:r>
      <w:r>
        <w:rPr>
          <w:rFonts w:ascii="Times New Roman" w:hAnsi="Times New Roman"/>
          <w:color w:val="000000"/>
          <w:sz w:val="20"/>
        </w:rPr>
        <w:t xml:space="preserve"> and the valuation of stock-based awards</w:t>
      </w:r>
      <w:r>
        <w:rPr>
          <w:rFonts w:ascii="Times New Roman" w:hAnsi="Times New Roman"/>
          <w:color w:val="222222"/>
          <w:sz w:val="20"/>
        </w:rPr>
        <w:t>. The Company bases its estimates on historical experience, known trends and other market-specific or other relevant factors that it believes to be reasonable under the circumstances. On an ongoing basis, management evaluates its estimates, as there are changes in circumstances, facts and experience. Actual results may differ from those estimates or assumptions.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Marketable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marketable securities, consisting of debt securities, are classified as available-for-sale. Available-for-sale marketable debt securities are carried at fair value with the unrealized gains and losses included in other comprehensive income (loss) as a component of stockholders’ equity until realized. Any premium or discount arising at purchase is amortized and/or accreted to interest income and/or expense over the life of the instrument. Realized gains and losses are determined using the specific identification method and are included in other income (expense). The Company reviews its portfolio of available-for-sale debt securities, using both quantitative and qualitative factors, to determine if declines in fair value below cost have resulted from a credit-related loss or other factors. If the decline in fair value is due to credit-related factors, a loss is recognized in net income, and if the decline in fair value is not due to credit-related factors, the loss is recorded in other comprehensive income (loss).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November 2024, the FASB issued ASU 2024-03, Income Statement - Reporting Comprehensive Income - Expense Disaggregation Disclosures (Subtopic 220-40): Disaggregation of Income Statement Expenses. The new standard requires additional disclosure of the nature of expenses included in the income statement as well as disclosures about specific types of expenses included in the expense captions presented in the income statement. ASU 2024-03 is effective for annual periods beginning after December 15, 2026, and interim reporting periods beginning after December 15, 2027. The Company is currently evaluating the impact of the ASU on its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3. Marketable Securities and Fair Value of Financial Assets and Liabilities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following table summarizes the Company’s marketable securities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120" w:after="283"/>
        <w:jc w:val="both"/>
        <w:rPr/>
      </w:pPr>
      <w:r>
        <w:rPr/>
        <w:t> </w:t>
      </w:r>
    </w:p>
    <w:tbl>
      <w:tblPr>
        <w:tblW w:w="8374" w:type="dxa"/>
        <w:jc w:val="left"/>
        <w:tblInd w:w="0" w:type="dxa"/>
        <w:tblLayout w:type="fixed"/>
        <w:tblCellMar>
          <w:top w:w="28" w:type="dxa"/>
          <w:left w:w="28" w:type="dxa"/>
          <w:bottom w:w="28" w:type="dxa"/>
          <w:right w:w="28" w:type="dxa"/>
        </w:tblCellMar>
      </w:tblPr>
      <w:tblGrid>
        <w:gridCol w:w="4201"/>
        <w:gridCol w:w="146"/>
        <w:gridCol w:w="886"/>
        <w:gridCol w:w="146"/>
        <w:gridCol w:w="886"/>
        <w:gridCol w:w="146"/>
        <w:gridCol w:w="886"/>
        <w:gridCol w:w="146"/>
        <w:gridCol w:w="93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bills and notes (due within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$611,898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$611,128</w:t>
            </w:r>
          </w:p>
        </w:tc>
      </w:tr>
    </w:tbl>
    <w:p>
      <w:pPr>
        <w:pStyle w:val="TextBody"/>
        <w:bidi w:val="0"/>
        <w:spacing w:before="120" w:after="283"/>
        <w:jc w:val="both"/>
        <w:rPr/>
      </w:pPr>
      <w:r>
        <w:rPr/>
        <w:t> </w:t>
      </w:r>
    </w:p>
    <w:tbl>
      <w:tblPr>
        <w:tblW w:w="8374" w:type="dxa"/>
        <w:jc w:val="left"/>
        <w:tblInd w:w="0" w:type="dxa"/>
        <w:tblLayout w:type="fixed"/>
        <w:tblCellMar>
          <w:top w:w="28" w:type="dxa"/>
          <w:left w:w="28" w:type="dxa"/>
          <w:bottom w:w="28" w:type="dxa"/>
          <w:right w:w="28" w:type="dxa"/>
        </w:tblCellMar>
      </w:tblPr>
      <w:tblGrid>
        <w:gridCol w:w="4201"/>
        <w:gridCol w:w="146"/>
        <w:gridCol w:w="886"/>
        <w:gridCol w:w="146"/>
        <w:gridCol w:w="886"/>
        <w:gridCol w:w="146"/>
        <w:gridCol w:w="886"/>
        <w:gridCol w:w="146"/>
        <w:gridCol w:w="93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bills and notes (due within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$588,397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$588,753</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the Company held 12 securities in an unrealized loss position. The aggregate fair value of the securities held by the Company in an unrealized loss position for less than twelve months as of June 30, 2026 was $551.3 million and there were no securities held by the Company in an unrealized loss position for more than twelve months. As of December 31, 2025, the Company held one security that was in an unrealized loss position. The aggregate fair value of securities held by the Company in an unrealized loss position for less than twelve months as of December 31, 2025 was $40.0 million and there were no securities held by the Company in an unrealized loss position for more than twelve months. The Company has the intent and ability to hold such securities until recovery. As a result, the Company did not record any charges for impairments for its marketable debt securities for the three and six months ended June 30, 2026 and for the year ended December 31, 2025.</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following tables present the Company’s fair value hierarchy for its financial assets and liabilities, which are measured at fair value on a recurring basis </w:t>
      </w:r>
      <w:r>
        <w:rPr>
          <w:rFonts w:ascii="Times New Roman" w:hAnsi="Times New Roman"/>
          <w:i/>
          <w:color w:val="000000"/>
          <w:sz w:val="20"/>
        </w:rPr>
        <w:t>(in thousands)</w:t>
      </w:r>
      <w:r>
        <w:rPr>
          <w:rFonts w:ascii="Times New Roman" w:hAnsi="Times New Roman"/>
          <w:color w:val="000000"/>
          <w:sz w:val="20"/>
        </w:rPr>
        <w:t xml:space="preserve">: </w:t>
      </w:r>
    </w:p>
    <w:p>
      <w:pPr>
        <w:pStyle w:val="TextBody"/>
        <w:bidi w:val="0"/>
        <w:jc w:val="both"/>
        <w:rPr/>
      </w:pPr>
      <w:r>
        <w:rPr/>
        <w:t> </w:t>
      </w:r>
    </w:p>
    <w:tbl>
      <w:tblPr>
        <w:tblW w:w="6749" w:type="dxa"/>
        <w:jc w:val="left"/>
        <w:tblInd w:w="0" w:type="dxa"/>
        <w:tblLayout w:type="fixed"/>
        <w:tblCellMar>
          <w:top w:w="28" w:type="dxa"/>
          <w:left w:w="28" w:type="dxa"/>
          <w:bottom w:w="28" w:type="dxa"/>
          <w:right w:w="28" w:type="dxa"/>
        </w:tblCellMar>
      </w:tblPr>
      <w:tblGrid>
        <w:gridCol w:w="2631"/>
        <w:gridCol w:w="146"/>
        <w:gridCol w:w="886"/>
        <w:gridCol w:w="146"/>
        <w:gridCol w:w="886"/>
        <w:gridCol w:w="146"/>
        <w:gridCol w:w="631"/>
        <w:gridCol w:w="146"/>
        <w:gridCol w:w="1131"/>
      </w:tblGrid>
      <w:tr>
        <w:trPr/>
        <w:tc>
          <w:tcPr>
            <w:tcW w:w="26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31" w:type="dxa"/>
            <w:tcBorders/>
            <w:shd w:fill="FFFFFF" w:val="clear"/>
            <w:vAlign w:val="center"/>
          </w:tcPr>
          <w:p>
            <w:pPr>
              <w:pStyle w:val="TableContents"/>
              <w:bidi w:val="0"/>
              <w:spacing w:before="0" w:after="283"/>
              <w:jc w:val="left"/>
              <w:rPr>
                <w:sz w:val="4"/>
                <w:szCs w:val="4"/>
              </w:rPr>
            </w:pPr>
            <w:r>
              <w:rPr>
                <w:sz w:val="4"/>
                <w:szCs w:val="4"/>
              </w:rPr>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June 30, 2026 Using:</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$153,830</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bills and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$611,128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$611,128</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$611,128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$764,958</w:t>
            </w:r>
          </w:p>
        </w:tc>
      </w:tr>
    </w:tbl>
    <w:p>
      <w:pPr>
        <w:pStyle w:val="TextBody"/>
        <w:bidi w:val="0"/>
        <w:jc w:val="left"/>
        <w:rPr/>
      </w:pPr>
      <w:r>
        <w:rPr/>
        <w:t> </w:t>
      </w:r>
    </w:p>
    <w:tbl>
      <w:tblPr>
        <w:tblW w:w="6930" w:type="dxa"/>
        <w:jc w:val="left"/>
        <w:tblInd w:w="0" w:type="dxa"/>
        <w:tblLayout w:type="fixed"/>
        <w:tblCellMar>
          <w:top w:w="28" w:type="dxa"/>
          <w:left w:w="28" w:type="dxa"/>
          <w:bottom w:w="28" w:type="dxa"/>
          <w:right w:w="28" w:type="dxa"/>
        </w:tblCellMar>
      </w:tblPr>
      <w:tblGrid>
        <w:gridCol w:w="2631"/>
        <w:gridCol w:w="146"/>
        <w:gridCol w:w="927"/>
        <w:gridCol w:w="152"/>
        <w:gridCol w:w="927"/>
        <w:gridCol w:w="152"/>
        <w:gridCol w:w="660"/>
        <w:gridCol w:w="152"/>
        <w:gridCol w:w="1183"/>
      </w:tblGrid>
      <w:tr>
        <w:trPr/>
        <w:tc>
          <w:tcPr>
            <w:tcW w:w="2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3"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December 31, 2025 Using:</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$213,102</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$213,102</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bills and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$588,753</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$588,753</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$213,102</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$588,753</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$801,855</w:t>
            </w:r>
          </w:p>
        </w:tc>
      </w:tr>
    </w:tbl>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Money market funds were valued using quoted prices in active markets, which represent a Level 1 measurement in the fair value hierarchy. U.S. Treasury bills and notes were valued by the Company using quoted prices in active markets for similar securities, which represent a Level 2 measurement within the fair value hierarchy.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and six months ended June 30, 2026 and 2025, there were no transfers between Level 1, Level 2 and Level 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4. Accrued Expenses and Other Current Liabilities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Accrued expenses and other current liabilities consisted of the following </w:t>
      </w:r>
      <w:r>
        <w:rPr>
          <w:rFonts w:ascii="Times New Roman" w:hAnsi="Times New Roman"/>
          <w:i/>
          <w:color w:val="000000"/>
          <w:sz w:val="20"/>
        </w:rPr>
        <w:t>(in thousands)</w:t>
      </w:r>
      <w:r>
        <w:rPr>
          <w:rFonts w:ascii="Times New Roman" w:hAnsi="Times New Roman"/>
          <w:color w:val="000000"/>
          <w:sz w:val="20"/>
        </w:rPr>
        <w:t xml:space="preserve">: </w:t>
      </w:r>
    </w:p>
    <w:p>
      <w:pPr>
        <w:pStyle w:val="TextBody"/>
        <w:bidi w:val="0"/>
        <w:jc w:val="both"/>
        <w:rPr/>
      </w:pPr>
      <w:r>
        <w:rPr/>
        <w:t> </w:t>
      </w:r>
    </w:p>
    <w:tbl>
      <w:tblPr>
        <w:tblW w:w="7820" w:type="dxa"/>
        <w:jc w:val="left"/>
        <w:tblInd w:w="0" w:type="dxa"/>
        <w:tblLayout w:type="fixed"/>
        <w:tblCellMar>
          <w:top w:w="28" w:type="dxa"/>
          <w:left w:w="28" w:type="dxa"/>
          <w:bottom w:w="28" w:type="dxa"/>
          <w:right w:w="28" w:type="dxa"/>
        </w:tblCellMar>
      </w:tblPr>
      <w:tblGrid>
        <w:gridCol w:w="4366"/>
        <w:gridCol w:w="146"/>
        <w:gridCol w:w="267"/>
        <w:gridCol w:w="858"/>
        <w:gridCol w:w="146"/>
        <w:gridCol w:w="146"/>
        <w:gridCol w:w="357"/>
        <w:gridCol w:w="1143"/>
        <w:gridCol w:w="391"/>
      </w:tblGrid>
      <w:tr>
        <w:trPr/>
        <w:tc>
          <w:tcPr>
            <w:tcW w:w="4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employee 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external 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external manufacturing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and consulting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52,902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5. Preferred Stock, Series A and Series B Non-Voting Convertible Preferred Stock and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authorized capital stock consists of 300,000,000 shares of common stock, par value $0.001 per share, and 10,000,000 shares of preferred stock, par value $0.001 per share, 1,000,000 of which are designated as Series A Non-Voting Convertible Preferred Stock (“Series A Preferred Stock”), 20,580 of which are designated as Series B Non-Voting Convertible Preferred Stock (“Series B Preferred Stock”) and 8,979,420 of which shares of preferred stock are undesignated.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Series A Non-Voting Convertible Preferred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July 6, 2020, the Company filed a Certificate of Designation of Preferences, Rights and Limitations of the Series A Non-Voting Convertible Preferred Stock with the Secretary of State of the State of Delaware (the “Series A Certificate of Designation”) in connection with the Company’s acquisition of Kiq Bio LLC and concurrent private placement of Series A Preferred Stock. The Series A Certificate of Designation provides for the issuance of shares of Series A Preferred Stock, par value $0.001 per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Holders of Series A Preferred Stock are entitled to receive dividends on shares of Series A Preferred Stock equal, on an as-if-converted-to-common-stock basis, and in the same form as dividends actually paid on shares of the common stock. Except as otherwise required by law, the Series A Preferred Stock does not have voting rights. However, as long as any shares of Series A Preferred Stock are outstanding, the Company will not, without the affirmative vote of the holders of a majority of the then outstanding shares of the Series A Preferred Stock, (i) alter or change adversely the powers, preferences or rights given to the Series A Preferred Stock, (ii) alter or amend the Series A Certificate of Designation, (iii) amend its certificate of incorporation or other charter documents in any manner that adversely affects any rights of the holders of Series A Preferred Stock, (iv) increase the number of authorized shares of Series A Preferred Stock, (v) at any time while at least 40% of the originally issued Series A Preferred Stock remains issued and outstanding, consummate a Fundamental Transaction (as defined in the Series A Certificate of Designation) or (vi) enter into any agreement with respect to any of the foregoing. The Series A Preferred Stock does not have a preference upon any liquidation, dissolution or winding-up of the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Each share of Series A Preferred Stock is convertible at any time at the option of the holder thereof, into 250 shares of common stock, subject to certain limitations, including that a holder of Series A Preferred Stock is prohibited from converting shares of Series A Preferred Stock into shares of common stock if, as a result of such conversion, such holder, together with its affiliates, would beneficially own more than a specified percentage (to be established by the holder between 4.9% and 19.9%) of the total number of shares of common stock issued and outstanding immediately after giving effect to such conversion.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Series B Non-Voting Convertible Preferred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February 14, 2024, the Company filed a Certificate of Designation of Preferences, Rights and Limitations of the Series B Non-Voting Convertible Preferred Stock with the Secretary of State of the State of Delaware (the “Series B Certificate of Designation”) in connection with the private placement of Series B Preferred Stock. The Series B Certificate of Designation provides for the issuance of shares of Series B Preferred Stock, par value $0.001 per share.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Holders of shares of Series B Preferred Stock are entitled to receive dividends on shares of Series B Preferred Stock equal to, on an as-if-converted-to-common stock basis, and in the same form as dividends actually paid on shares of the common stock. Except as otherwise required by law, the Series B Preferred Stock does not have voting rights. However, as long as any shares of Series B Preferred Stock are outstanding, the Company will not, without the affirmative vote of each of the holders of the then outstanding shares of the Series B Preferred Stock, (i) alter or change adversely the powers, preferences or rights given to the Series B Preferred Stock, (ii) alter or amend the Series B Certificate of Designation, or (iii) amend its certificate of incorporation or other charter documents in any manner that adversely affects any rights of the holders of Series B Preferred Stock. The Series B Preferred Stock does not have a preference upon any liquidation, dissolution or winding-up of the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June 10, 2024, following approval by the stockholders of the Company of an increase in the number of authorized shares of common stock at the Company’s 2024 annual meeting of stockholders, each share of Series B Preferred Stock automatically converted into 1,000 shares of common stock, subject to certain limitations, including that a holder of Series B Preferred Stock was prohibited from converting shares of Series B Preferred Stock into shares of common stock if, as a result of such conversion, such holder, together with its affiliates, would have beneficially owned more than a specified percentage (established by the holder between 0% and 19.9%) of the total number of shares of common stock issued and outstanding immediately after giving effect to such conversion. Pursuant to the terms of the Series B Certificate of Designation, on June 10, 2024, 13,712 shares of Series B Preferred Stock automatically converted to 13,712,000 shares of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Cumulatively, through June 30, 2026, 123,911 shares of Series A Preferred Stock, or 75.9% of the previously issued Series A Preferred Stock, have been converted into 30,977,750 shares of common stock. The 39,414 shares of Series A Preferred Stock outstanding as of June 30, 2026 are convertible into 9,853,500 shares of common stock. Cumulatively, through June 30, 2026, 16,064 shares of the Series B Preferred Stock, or 78.1% of the previously issued Series B Preferred Stock, have been converted into 16,064,000 shares of common stock. The 4,516 shares of Series B Preferred Stock outstanding as of June 30, 2026 are convertible into 4,516,000 shares of common stock.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 other classes of preferred stock have been designated and no other preferred shares have been issued or are outstanding as of June 30, 2026.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Each share of common stock entitles the holder to one vote on all matters submitted to a vote of the Company’s stockholders. Common stockholders are not entitled to receive dividends, unless declared by the board of directors. In the event of the Company’s liquidation, dissolution or winding up, holders of the Company’s common stock will be entitled to share ratably in all assets remaining after payment of all debts and other liabilities and any liquidation preference of any outstanding preferred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May 6, 2022, the Company entered into a Sales Agreement (the “Sales Agreement”) with Guggenheim Securities, LLC (“Guggenheim Securities”), pursuant to which the Company may issue and sell, from time to time, shares of its common stock having an aggregate offering price of up to $75.0 million through Guggenheim Securities, as the sales agent, in an at the market offering (“ATM”) registered under a shelf registration statement on Form S-3. On November 7, 2025, the Company amended the Sales Agreement to increase the aggregate offering price to up to $300.0 million. During the six months ended June 30, 2026, 1,340,699 shares were sold under the Sales Agreement for net proceeds of approximately $45.7 million, after deducting issuance costs of $1.4 million. As of June 30, 2026, $88.6 million remained unsold and available for sale under the Sales Agreement. Subsequent to June 30, 2026, 1,743,528 shares of common stock were sold under the Sales Agreement for net proceeds of approximately $71.4 million, after deducting issuance costs of $2.2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issued certain pre-funded warrants in 2022. Each pre-funded warrant entitled the holder to purchase shares of common stock at an exercise price of $0.01 per share and was exercisable at any time beginning on the date of issuance. In January 2026, the remaining 606,060 pre-funded warrants were exercised.</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6. 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2018 Stock Option and Incentive Plan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2018 Stock Option and Incentive Plan, (the “2018 Plan”), which became effective on March 27, 2018, provides for the grant of incentive stock options, nonqualified stock options, stock appreciation rights, restricted stock units, restricted stock awards, unrestricted stock awards, cash-based awards and dividend equivalent rights. The number of shares initially reserved for issuance under the 2018 Plan was 700,180. Additionally, the shares of common stock that remained available for issuance under the previously outstanding 2015 Stock Incentive Plan (the “2015 Plan”) became available under the 2018 Plan. The number of shares reserved for the 2018 Plan automatically increases on each January 1 by 4% of the number of shares of the Company’s common stock outstanding on the immediately preceding December 31 or a lesser number of shares determined by the Company’s board of directors. At the Company’s 2021 annual stockholder meeting, the Company’s stockholders approved the amendment and restatement of the 2018 Plan to increase the number of shares of common stock issuable under the 2018 Plan by 6,000,000 shares. At the Company’s 2023 annual stockholder meeting, the Company’s stockholders approved the amendment and restatement of the 2018 Plan to increase the number of shares of common stock issuable under the 2018 Plan by an additional 6,000,000 shares.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shares of common stock underlying any awards that are forfeited, canceled, held back upon exercise or settlement of an award to satisfy the exercise price or tax withholding, repurchased or are otherwise terminated by the Company under the 2018 Plan or the 2015 Plan will be added back to the shares of common stock available for issuance under the 2018 Plan.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number of authorized shares reserved for issuance under the 2018 Plan was increased by 6,439,201 shares effective as of January 1, 2026. As of June 30, 2026, 1,999,348 shares of common stock remain available for issuance under the 2018 Plan.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Inducement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October 22, 2020, the board of directors adopted the Cogent Biosciences, Inc. 2020 Inducement Plan (the “Inducement Plan”). A total of 3,750,000 shares of common stock were initially reserved for issuance under the Inducement Plan, and, as of June 30, 2026, an additional 2,800,000 shares of common stock have been reserved for issuance under the Inducement Plan. As of June 30, 2026, 1,016,303 shares of common stock remain available for issuance under the Inducement Plan.</w:t>
      </w:r>
    </w:p>
    <w:p>
      <w:pPr>
        <w:pStyle w:val="TextBody"/>
        <w:bidi w:val="0"/>
        <w:spacing w:before="360" w:after="283"/>
        <w:jc w:val="left"/>
        <w:rPr>
          <w:rFonts w:ascii="Times New Roman" w:hAnsi="Times New Roman"/>
          <w:sz w:val="20"/>
        </w:rPr>
      </w:pPr>
      <w:r>
        <w:rPr>
          <w:rFonts w:ascii="Times New Roman" w:hAnsi="Times New Roman"/>
          <w:i/>
          <w:color w:val="000000"/>
          <w:sz w:val="20"/>
        </w:rPr>
        <w:t>2018 Employee Stock Purchase Plan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2018 Employee Stock Purchase Plan (the “ESPP”) became effective on March 28, 2018, at which time a total of 78,500 shares of common stock were reserved for issuance. The number of shares of common stock that may be issued under the ESPP automatically increases on each January 1 through January 1, 2027, by the least of (i) 125,000 shares of common stock, (ii) 1% of the number of shares of the Company’s common stock outstanding on the immediately preceding December 31 or (iii) such lesser number of shares as determined by the ESPP administrator. The number of authorized shares reserved for issuance under the ESPP was increased by 125,000 shares effective as of January 1, 2026. As of June 30, 2026, 254,605 shares remain available for issuance under the ESPP.</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Performance-based restricted stock units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2023 and 2024, the Board of Directors approved grants to executives in aggregate of up to 2,714,000 performance-based restricted stock units (“PSUs”) under the 2018 Plan that were eligible to vest over a performance period ending in February 2026 (“2023 Executive PSUs”). An award holder could generally receive between 0% and 200% of the target award based on achievement of specified stock price hurdles and/or research and development milestones at any time during the performance period. Any 2023 Executive PSUs earned during the performance period would vest, if at all, in a single tranche in February 2026 subject to a condition of continuing employment through the end of the performance period. The fair value of the market-based awards was estimated on the date of grant for accounting purposes using a Monte Carlo simulation model. The fair value of the performance-based awards was based on the closing share price of the Company’s common stock on the accounting grant date. In December 2025, the Board of Directors determined that the 2023 Executive PSUs had been achieved at the maximum level and approved the acceleration of vesting of all such PSUs and the Company recognized the remaining expense of $1.1 million in the fourth quarter of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October 2025, the Board of Directors approved grants to executives in aggregate of up to 3,650,000 PSUs under the 2018 Plan that were eligible to vest over a performance period ending in December 2028 (“2025 Executive PSUs”). An award holder could generally receive between 0% and 200% of the target award based on achievement of specified stock price hurdles or development and commercial milestones at any time during the performance period. Any 2025 Executive PSUs earned during the performance period will vest, if at all, in a single tranche in December 2028 subject to a condition of continuing employment through the end of the performance period. The fair value of the market-based awards was estimated on the date of grant for accounting purposes using a Monte Carlo simulation model. The fair value of the performance-based awards was based on the closing share price of the Company’s common stock on the accounting grant date. In the fourth quarter of 2025, the maximum number of awards was deemed earned as a result of the achievement of the maximum stock price target.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year ended December 31, 2025, the Company granted 340,000 PSUs to certain non-executives (“Non-executive PSUs”) under the 2018 Plan. These awards were subject to the holders’ continuous service to the Company through the vesting event. In May 2026, the awards vested as a result of the achievement of performance milestones and the Company recognized the remaining expense of $0.8 million in the second quarter of 2026.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Stock-Based Compensation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following table summarizes stock-based compensation expense during the three and six months ended June 30, 2026 and 2025 </w:t>
      </w:r>
      <w:r>
        <w:rPr>
          <w:rFonts w:ascii="Times New Roman" w:hAnsi="Times New Roman"/>
          <w:i/>
          <w:color w:val="000000"/>
          <w:sz w:val="20"/>
        </w:rPr>
        <w:t>(in thousands)</w:t>
      </w:r>
      <w:r>
        <w:rPr>
          <w:rFonts w:ascii="Times New Roman" w:hAnsi="Times New Roman"/>
          <w:color w:val="000000"/>
          <w:sz w:val="20"/>
        </w:rPr>
        <w:t>:</w:t>
      </w:r>
    </w:p>
    <w:tbl>
      <w:tblPr>
        <w:tblW w:w="9469" w:type="dxa"/>
        <w:jc w:val="left"/>
        <w:tblInd w:w="0" w:type="dxa"/>
        <w:tblLayout w:type="fixed"/>
        <w:tblCellMar>
          <w:top w:w="28" w:type="dxa"/>
          <w:left w:w="28" w:type="dxa"/>
          <w:bottom w:w="28" w:type="dxa"/>
          <w:right w:w="28" w:type="dxa"/>
        </w:tblCellMar>
      </w:tblPr>
      <w:tblGrid>
        <w:gridCol w:w="4456"/>
        <w:gridCol w:w="243"/>
        <w:gridCol w:w="781"/>
        <w:gridCol w:w="168"/>
        <w:gridCol w:w="168"/>
        <w:gridCol w:w="243"/>
        <w:gridCol w:w="659"/>
        <w:gridCol w:w="146"/>
        <w:gridCol w:w="146"/>
        <w:gridCol w:w="211"/>
        <w:gridCol w:w="677"/>
        <w:gridCol w:w="146"/>
        <w:gridCol w:w="146"/>
        <w:gridCol w:w="211"/>
        <w:gridCol w:w="677"/>
        <w:gridCol w:w="391"/>
      </w:tblGrid>
      <w:tr>
        <w:trPr/>
        <w:tc>
          <w:tcPr>
            <w:tcW w:w="445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 by type of award:</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 options</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 Stock Purchase Plan</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Restricted stock units</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Performance-based restricted stock units</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4,033</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17,107</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recorded stock-based compensation expense in the following expense categories of its condensed consolidated statements of operations and comprehensive loss </w:t>
      </w:r>
      <w:r>
        <w:rPr>
          <w:rFonts w:ascii="Times New Roman" w:hAnsi="Times New Roman"/>
          <w:i/>
          <w:color w:val="000000"/>
          <w:sz w:val="20"/>
        </w:rPr>
        <w:t>(in thousands)</w:t>
      </w:r>
      <w:r>
        <w:rPr>
          <w:rFonts w:ascii="Times New Roman" w:hAnsi="Times New Roman"/>
          <w:color w:val="000000"/>
          <w:sz w:val="20"/>
        </w:rPr>
        <w:t xml:space="preserve">: </w:t>
      </w:r>
    </w:p>
    <w:tbl>
      <w:tblPr>
        <w:tblW w:w="8104" w:type="dxa"/>
        <w:jc w:val="left"/>
        <w:tblInd w:w="0" w:type="dxa"/>
        <w:tblLayout w:type="fixed"/>
        <w:tblCellMar>
          <w:top w:w="28" w:type="dxa"/>
          <w:left w:w="28" w:type="dxa"/>
          <w:bottom w:w="28" w:type="dxa"/>
          <w:right w:w="28" w:type="dxa"/>
        </w:tblCellMar>
      </w:tblPr>
      <w:tblGrid>
        <w:gridCol w:w="3091"/>
        <w:gridCol w:w="243"/>
        <w:gridCol w:w="781"/>
        <w:gridCol w:w="168"/>
        <w:gridCol w:w="168"/>
        <w:gridCol w:w="243"/>
        <w:gridCol w:w="659"/>
        <w:gridCol w:w="146"/>
        <w:gridCol w:w="146"/>
        <w:gridCol w:w="211"/>
        <w:gridCol w:w="677"/>
        <w:gridCol w:w="146"/>
        <w:gridCol w:w="146"/>
        <w:gridCol w:w="211"/>
        <w:gridCol w:w="677"/>
        <w:gridCol w:w="391"/>
      </w:tblGrid>
      <w:tr>
        <w:trPr/>
        <w:tc>
          <w:tcPr>
            <w:tcW w:w="309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8,604</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8,503</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17,107</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total unrecognized compensation cost related to the unvested stock options and restricted stock units was $94.6 million and $44.0 million, respectively, which is expected to be recognized over a weighted average period of 2.4 years and 3.6 years, respectively.</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As of June 30, 2026, the total amount of unrecognized compensation cost related to unvested PSUs, all of which relate to the 2025 Executive PSUs, where the market or performance criteria have been achieved or are probable of achievement was $29.9 million, which is expected to be recognized over a weighted average period of 2.5 years.</w:t>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7. Commitments and Contingencies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Operating Lease</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Corporate Headquarters - Waltham, MA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September 5, 2025, the Company and BP THIRD AVENUE LLC (“BP”) entered into a lease agreement (the “Waltham Lease”) pursuant to which the Company leases approximately 31,518 square feet of office space in Waltham, Massachusetts, which serves as its corporate headquarters and replaced its former headquarters in Waltham, Massachusetts.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term of the Waltham Lease commenced in May 2026 (the “Commencement Date”). The Waltham Lease has a term of 7 years and 6 months from the Commencement Date, and the Company has an option to extend the term of the Waltham Lease for an additional five-year period. The Company's obligation to pay base rent begins 5 months after the Commencement Date at an initial rate of $32.00 per square foot. Rent will be payable in equal monthly installments and subject to annual increases of $1.00 per square foot over the term. Additionally, the Company is required to pay its share of operating expenses and property taxes as additional rent. The Company recorded the initial right-of-use asset and lease liabilities for the lease of $5.7 million as of the Commencement Date. In connection with the Waltham Lease, the Company deposited with BP a letter of credit in the amount of approximately $0.3 million as a security deposit which is recorded in Restricted Cash in the consolidated condensed balance sheets as of June 30, 2026 and December 31, 2025.</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License Agreements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Plexxikon License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July 2020, the Company obtained an exclusive, sublicensable, worldwide license (the “License Agreement”) to certain patents and other intellectual property rights to research, develop and commercialize bezuclastinib. Under the terms of the License Agreement, the Company is required to pay Plexxikon Inc., a member of the Daiichi Sankyo Group (“Plexxikon”), aggregate payments of up to $7.5 million upon the satisfaction of certain clinical milestones and up to $25.0 million upon the satisfaction of certain regulatory milestones. During the second quarter of 2022, as a result of the progression of the PEAK study, the first clinical milestone was achieved, resulting in payment of $2.5 million to Plexxikon in June 2022. In the fourth quarter of 2025, $5.0 million became payable upon the achievement of certain regulatory milestones and was paid in the first quarter of 2026. An additional $15.0 million may become payable in the next twelve months as a result of the achievement of additional regulatory milestones.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also required to pay Plexxikon tiered royalties ranging from a low-single digit percentage to a high-single digit percentage on annual net sales of products. These royalty obligations last on a product-by-product basis and country-by-country basis until the latest of (i) the date on which there is no valid claim of a licensed Plexxikon patent covering a subject product in such country or (ii) the 10th anniversary of the date of the first commercial sale of the product in such country. In addition, if the Company sublicenses the rights under the License Agreement, the Company is required to pay a certain percentage of the sublicense revenue to Plexxikon ranging from mid-double digit percentages to mid-single digit percentages, depending on whether the sublicense is entered into prior to or after certain clinical trial events.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License Agreement will expire on a country-by-country and licensed product-by-licensed product basis until the later of the last to expire of the patents covering such licensed products or services or the 10-year anniversary of the date of first commercial sale of the licensed product in such country. The Company may terminate the License Agreement within 30 days after written notice in the event of a material breach. The Company may also terminate the agreement upon written notice in the event of the Company’s bankruptcy, liquidation or insolvency. In addition, the Company has the right to terminate this agreement in its entirety at will upon 90 days’ advance written notice to Plexxikon.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Indemnification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its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that will have a material effect on its financial position, results of operations or cash flows, and it has not accrued any liabilities related to such obligations in its condensed consolidated financial statements as of June 30, 2026 or its consolidated financial statements as of December 31, 2025. </w:t>
      </w:r>
    </w:p>
    <w:p>
      <w:pPr>
        <w:pStyle w:val="TextBody"/>
        <w:bidi w:val="0"/>
        <w:spacing w:before="120" w:after="283"/>
        <w:jc w:val="both"/>
        <w:rPr>
          <w:rFonts w:ascii="Times New Roman" w:hAnsi="Times New Roman"/>
          <w:sz w:val="20"/>
        </w:rPr>
      </w:pPr>
      <w:r>
        <w:rPr>
          <w:rFonts w:ascii="Times New Roman" w:hAnsi="Times New Roman"/>
          <w:b/>
          <w:i/>
          <w:color w:val="000000"/>
          <w:sz w:val="20"/>
        </w:rPr>
        <w:t>Legal Proceedings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is not currently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as incurred the costs related to such legal proceedings.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 Debt</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Convertible Senior Notes Due 2031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November 18, 2025, the Company completed a public offering of $230.0 million aggregate principal amount of its 1.625% Convertible Senior Notes due 2031 (the “Notes”), including the exercise in full of the underwriters’ over-allotment option to purchase up to an additional $30.0 million aggregate principal amount of the Notes. The Notes were issued pursuant to, and are governed by, an indenture (the “Base Indenture”), dated as of November 18, 2025, between the Company and U.S. Bank Trust Company, National Association, as trustee (the “Trustee”), as supplemented by a first supplemental indenture, dated as of November 18, 2025 (the “First Supplemental Indenture”), and a second supplemental indenture, dated April 27, 2026 (the “Second Supplemental Indenture,” and the Base Indenture, as supplemented by the First Supplemental Indenture and the Second Supplemental Indenture, the “Indenture”), between the Company and the Trustee.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Notes are general, unsecured, senior obligations of the Company. The Notes accrue interest payable semiannually in arrears on May 15 and November 15 of each year, beginning on May 15, 2026, at a rate equal to 1.625% per year. In addition, special interest will accrue on the Notes upon the occurrence of certain events relating to the Company’s failure to file certain reports with the U.S. Securities and Exchange Commission as provided in the Indenture. The Notes will mature on November 15, 2031 (the “Maturity Date”), unless earlier converted, redeemed or repurchased by the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Noteholders may convert their Notes at their option only in the following circumstances: (i) during any calendar quarter (and only during such calendar quarter) commencing after the calendar quarter ending on March 31, 2026, if the last reported sale price per share of the Company’s common stock, exceeds 130% of the conversion price for each of at least 20 trading days, whether or not consecutive, during the 30 consecutive trading days ending on, and including, the last trading day of the immediately preceding calendar quarter; (ii) during the five consecutive business days immediately after any 10 consecutive trading day period (such 10 consecutive trading day period, the “Measurement Period”) in which the trading price per $1,000 principal amount of Notes for each trading day of the Measurement Period was less than 98% of the product of the last reported sale price per share of the common stock on such trading day and the conversion rate on such trading day; (iii) upon the occurrence of certain corporate events or distributions on the common stock, as described in the Indenture; (iv) if the Company calls such Notes for redemption; and (v) at any time from, and including, August 15, 2031 until the close of business on the scheduled trading day immediately before the Maturity Date. The Company will settle conversions by paying or delivering, as applicable, cash, shares of common stock or a combination of cash and shares of common stock, at the Company’s election, based on the applicable conversion rate(s). The initial conversion rate is 22.2469 shares of common stock per $1,000 principal amount of Notes, which represents an initial conversion price of approximately $44.95 per share, and is subject to adjustment as described in the Indenture. If certain corporate events that constitute a “Make-Whole Fundamental Change” occur, then the Company will in certain circumstances increase the conversion rate for a specified period of time.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Notes will be redeemable, in whole or in part (subject to certain limitations described below), at the Company’s option at any time, and from time to time, on a redemption date on or after November 20, 2029 and on or before the 26th scheduled trading day immediately before the Maturity Date, at a cash redemption price equal to the principal amount of the Notes to be redeemed, plus accrued and unpaid interest, if any, to, but excluding, the redemption date, but only if the last reported sale price per share of the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notice. However, the Company may not redeem less than all of the outstanding Notes unless at least $75.0 million aggregate principal amount of Notes are outstanding and not called for redemption as of the time the Company sends the related redemption notice.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the Notes are classified as a long-term liability on the condensed consolidated balance sheets and presented net of unamortized issuance costs. The issuance costs are amortized to interest expense over the contractual term of the Notes. As of June 30, 2026, the effective interest rate of the Notes is 2.2%.</w:t>
      </w:r>
    </w:p>
    <w:p>
      <w:pPr>
        <w:pStyle w:val="TextBody"/>
        <w:bidi w:val="0"/>
        <w:spacing w:before="120" w:after="120"/>
        <w:jc w:val="both"/>
        <w:rPr>
          <w:rFonts w:ascii="Times New Roman" w:hAnsi="Times New Roman"/>
          <w:sz w:val="20"/>
        </w:rPr>
      </w:pPr>
      <w:r>
        <w:rPr>
          <w:rFonts w:ascii="Times New Roman" w:hAnsi="Times New Roman"/>
          <w:color w:val="000000"/>
          <w:sz w:val="20"/>
        </w:rPr>
        <w:t xml:space="preserve">The outstanding balance of the Notes as of June 30, 2026 consisted of the following </w:t>
      </w:r>
      <w:r>
        <w:rPr>
          <w:rFonts w:ascii="Times New Roman" w:hAnsi="Times New Roman"/>
          <w:i/>
          <w:color w:val="000000"/>
          <w:sz w:val="20"/>
        </w:rPr>
        <w:t>(in thousands):</w:t>
      </w:r>
    </w:p>
    <w:tbl>
      <w:tblPr>
        <w:tblW w:w="5338" w:type="dxa"/>
        <w:jc w:val="left"/>
        <w:tblInd w:w="0" w:type="dxa"/>
        <w:tblLayout w:type="fixed"/>
        <w:tblCellMar>
          <w:top w:w="28" w:type="dxa"/>
          <w:left w:w="28" w:type="dxa"/>
          <w:bottom w:w="28" w:type="dxa"/>
          <w:right w:w="28" w:type="dxa"/>
        </w:tblCellMar>
      </w:tblPr>
      <w:tblGrid>
        <w:gridCol w:w="3856"/>
        <w:gridCol w:w="146"/>
        <w:gridCol w:w="239"/>
        <w:gridCol w:w="886"/>
        <w:gridCol w:w="211"/>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amount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discount and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223,457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the estimated fair value of the Notes was approximately $281.3 million. The fair value was determined based on the quoted price of the Notes in an inactive market on the last trading day of the reporting period and has been classified as Level 2 in the fair value hierarchy.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Credit Facility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June 11, 2025 (the “Closing Date”), the Company entered into a loan and security agreement (the “Loan and Security Agreement”) as a borrower with its subsidiaries (each a “Guarantor,” collectively, the “Guarantors”), the lenders party thereto (the “Lenders”), and SLR Investment Corp., as the administrative agent and collateral agent for itself and the Lenders. The Loan and Security Agreement provides for a non-dilutive term loan facility (the “Credit Facility”) of up to an aggregate principal amount of $400.0 million, of which a first tranche of $50.0 million was fully funded on the Closing Date, with future tranches at the Company’s election subject to achievement of specified milestones. On November 18, 2025, using proceeds received from the issuance of the Notes described above, the Company prepaid in full all of its amounts outstanding with respect to the Credit Facility and repaid in full all obligations due.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expense consists of amortization of debt discount and issuance costs and contractual coupon interest expense. Interest expense related to the Notes for the three and six months ended June 30, 2026 was $1.2 million and $2.4 million, respectively. No interest expense related to the Notes was recorded for the three and six months ended June 30, 2025. No interest expense related to the Credit Facility was recorded for the three and six months ended June 30, 2026. Interest expense related to the Credit Facility for the three and six months ended June 30, 2025 was $0.3 million.</w:t>
      </w:r>
    </w:p>
    <w:p>
      <w:pPr>
        <w:pStyle w:val="TextBody"/>
        <w:bidi w:val="0"/>
        <w:spacing w:before="120" w:after="283"/>
        <w:jc w:val="both"/>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9. Net Loss per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computes net loss per share of common stock, Series A Preferred Stock and Series B Preferred Stock using the two-class method required for multiple classes of common stock and other participating securities. The two-class method is an earnings (loss) allocation method that requires income (loss) available to common stockholders be allocated to all such classes of common stock and other participating securities in accordance with the contractual terms of each class of stock. The Company has determined that the Series A Preferred Stock and Series B Preferred Stock represent other classes of common stock for purposes of calculating net loss per share.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Basic and diluted net loss per common share is computed by dividing the net loss by the weighted-average number of shares and pre-funded warrants outstanding during the period, without consideration of potential dilutive securities. The outstanding pre-funded warrants are included in the computation of basic net loss per common share as the exercise price is negligible and they are fully vested and exercisable. For periods in which the Company generated a net loss, the Company does not include potential shares of common stock in diluted net loss per share when the impact of these items is anti-dilutive. The Company has generated a net loss for all periods presented, therefore diluted net loss per share is the same as basic net loss per share since the inclusion of potential shares of common stock would be anti-dilutive.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following tables set forth the computation of basic and diluted net loss per share of common stock, Series A Preferred Stock, and Series B Preferred Stock </w:t>
      </w:r>
      <w:r>
        <w:rPr>
          <w:rFonts w:ascii="Times New Roman" w:hAnsi="Times New Roman"/>
          <w:i/>
          <w:color w:val="000000"/>
          <w:sz w:val="20"/>
        </w:rPr>
        <w:t>(in thousands, except share and per share amounts)</w:t>
      </w:r>
      <w:r>
        <w:rPr>
          <w:rFonts w:ascii="Times New Roman" w:hAnsi="Times New Roman"/>
          <w:color w:val="000000"/>
          <w:sz w:val="20"/>
        </w:rPr>
        <w: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368"/>
        <w:gridCol w:w="146"/>
        <w:gridCol w:w="1149"/>
        <w:gridCol w:w="146"/>
        <w:gridCol w:w="1145"/>
        <w:gridCol w:w="146"/>
        <w:gridCol w:w="1163"/>
        <w:gridCol w:w="146"/>
        <w:gridCol w:w="1149"/>
        <w:gridCol w:w="146"/>
        <w:gridCol w:w="1145"/>
        <w:gridCol w:w="146"/>
        <w:gridCol w:w="1210"/>
      </w:tblGrid>
      <w:tr>
        <w:trPr/>
        <w:tc>
          <w:tcPr>
            <w:tcW w:w="23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r>
      <w:tr>
        <w:trPr/>
        <w:tc>
          <w:tcPr>
            <w:tcW w:w="2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1"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r>
      <w:tr>
        <w:trPr/>
        <w:tc>
          <w:tcPr>
            <w:tcW w:w="2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9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23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 A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 B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 A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 B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r>
      <w:tr>
        <w:trPr/>
        <w:tc>
          <w:tcPr>
            <w:tcW w:w="2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Allocated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$(60,877)</w:t>
            </w:r>
          </w:p>
        </w:tc>
      </w:tr>
      <w:tr>
        <w:trPr/>
        <w:tc>
          <w:tcPr>
            <w:tcW w:w="2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171,005,468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114,466,080</w:t>
            </w:r>
          </w:p>
        </w:tc>
      </w:tr>
      <w:tr>
        <w:trPr/>
        <w:tc>
          <w:tcPr>
            <w:tcW w:w="2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269"/>
        <w:gridCol w:w="146"/>
        <w:gridCol w:w="1120"/>
        <w:gridCol w:w="146"/>
        <w:gridCol w:w="1226"/>
        <w:gridCol w:w="146"/>
        <w:gridCol w:w="1160"/>
        <w:gridCol w:w="146"/>
        <w:gridCol w:w="1120"/>
        <w:gridCol w:w="146"/>
        <w:gridCol w:w="1226"/>
        <w:gridCol w:w="146"/>
        <w:gridCol w:w="1208"/>
      </w:tblGrid>
      <w:tr>
        <w:trPr/>
        <w:tc>
          <w:tcPr>
            <w:tcW w:w="22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r>
      <w:tr>
        <w:trPr/>
        <w:tc>
          <w:tcPr>
            <w:tcW w:w="2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0"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2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4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22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 A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 B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 A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 B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r>
      <w:tr>
        <w:trPr/>
        <w:tc>
          <w:tcPr>
            <w:tcW w:w="2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Allocated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$(120,454)</w:t>
            </w:r>
          </w:p>
        </w:tc>
      </w:tr>
      <w:tr>
        <w:trPr/>
        <w:tc>
          <w:tcPr>
            <w:tcW w:w="2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166,624,462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114,463,810</w:t>
            </w:r>
          </w:p>
        </w:tc>
      </w:tr>
      <w:tr>
        <w:trPr/>
        <w:tc>
          <w:tcPr>
            <w:tcW w:w="2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excluded the following potential common shares, presented based on amounts outstanding at each period end, from the computation of diluted net loss per share attributable to common stockholders for the periods indicated above because including them would have had an anti-dilutive effect:</w:t>
      </w:r>
    </w:p>
    <w:p>
      <w:pPr>
        <w:pStyle w:val="TextBody"/>
        <w:bidi w:val="0"/>
        <w:jc w:val="both"/>
        <w:rPr/>
      </w:pPr>
      <w:r>
        <w:rPr/>
        <w:t> </w:t>
      </w:r>
    </w:p>
    <w:tbl>
      <w:tblPr>
        <w:tblW w:w="7854" w:type="dxa"/>
        <w:jc w:val="left"/>
        <w:tblInd w:w="0" w:type="dxa"/>
        <w:tblLayout w:type="fixed"/>
        <w:tblCellMar>
          <w:top w:w="28" w:type="dxa"/>
          <w:left w:w="28" w:type="dxa"/>
          <w:bottom w:w="28" w:type="dxa"/>
          <w:right w:w="28" w:type="dxa"/>
        </w:tblCellMar>
      </w:tblPr>
      <w:tblGrid>
        <w:gridCol w:w="4861"/>
        <w:gridCol w:w="146"/>
        <w:gridCol w:w="146"/>
        <w:gridCol w:w="1036"/>
        <w:gridCol w:w="146"/>
        <w:gridCol w:w="146"/>
        <w:gridCol w:w="146"/>
        <w:gridCol w:w="1036"/>
        <w:gridCol w:w="191"/>
      </w:tblGrid>
      <w:tr>
        <w:trPr/>
        <w:tc>
          <w:tcPr>
            <w:tcW w:w="4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27,111,643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27,107,864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issuable upon conversion of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5,116,787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Performance-based restricted stock units subject to vesting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3,054,000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subject to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1,282,213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37,160,643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30,241,864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10. Retirement Plan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a defined-contribution plan under Section 401(k) of the Internal Revenue Code (the “401(k) Plan”). The 401(k) Plan covers all employees who meet defined minimum age and service requirements and allows participants to defer a portion of their annual compensation on a pre-tax basis. The 401(k) Plan allows for discretionary matching contributions of 100% of the first 4% of elective contributions, which vest immediately. Contributions under the plan were $0.7 million and $0.4 million for the three months ended June 30, 2026 and 2025, respectively. Contributions under the plan were $1.7 million and $1.2 million for the six months ended June 30, 2026 and 2025, respectively.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11. Segment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manages its operations as a single operating segment for the purposes of assessing performance and making operating decisions. The Company’s singular focus is the development and commercialization of precision therapies for genetically defined diseases. Cogent’s chief operating decision maker (“CODM”) is the Chief Executive Officer (“CEO”). The CODM manages and allocates resources to the operations of the Company on a total company basis and segment performance is evaluated based on consolidated net loss. The Company’s CEO uses consolidated financial information for purposes of evaluating performance, understanding future forecasted results and allocating resources. The measure of segment assets is reported on the balance sheet as total consolidated assets. All of the Company’s tangible assets are held in the United States.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accounting policies for each operating segment are consistent with the Company’s policies for the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following table is a summary of segment information for the three and six months ended June 30, 2026 and 2025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3574"/>
        <w:gridCol w:w="346"/>
        <w:gridCol w:w="211"/>
        <w:gridCol w:w="676"/>
        <w:gridCol w:w="366"/>
        <w:gridCol w:w="346"/>
        <w:gridCol w:w="211"/>
        <w:gridCol w:w="676"/>
        <w:gridCol w:w="366"/>
        <w:gridCol w:w="346"/>
        <w:gridCol w:w="211"/>
        <w:gridCol w:w="781"/>
        <w:gridCol w:w="366"/>
        <w:gridCol w:w="346"/>
        <w:gridCol w:w="211"/>
        <w:gridCol w:w="781"/>
        <w:gridCol w:w="391"/>
      </w:tblGrid>
      <w:tr>
        <w:trPr/>
        <w:tc>
          <w:tcPr>
            <w:tcW w:w="357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5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Late-stage development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25,593</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27,115</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53,695</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55,212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Early-stage, preclinical and discovery programs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11,791</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10,039</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25,766</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R&amp;D personnel related</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17,600</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14,568</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35,647</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29,442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software, facilities and other strategic support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6,537</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4,907</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12,271</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operational infrastructure and advisory support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23,269</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8,582</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43,484</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15,693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17,107</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9,716</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34,015</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(7,461</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(15,069</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net loss and consolidated net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96,405</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73,529</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193,757</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145,515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condensed consolidated financial statements and related notes appearing elsewhere in this Quarterly Report on Form 10-Q and our Annual Report on Form 10-K. Some of the information contained in this discussion and analysis or set forth elsewhere in this Quarterly Report on Form 10-Q, including information with respect to our plans and strategy for our business, includes forward-looking statements that involve risks and uncertainties. Our actual results may differ materially from those anticipated in these forward-looking statements as a result of certain factors, including but not limited to those set forth under the caption “Risk Factors” in this Quarterly Report on Form 10-Q.</w:t>
      </w:r>
    </w:p>
    <w:p>
      <w:pPr>
        <w:pStyle w:val="TextBody"/>
        <w:bidi w:val="0"/>
        <w:spacing w:before="360" w:after="283"/>
        <w:jc w:val="both"/>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0"/>
        </w:rPr>
        <w:t>We are a clinical-stage biotechnology company focused on developing precision therapies for genetically defined diseases. Our approach is to design rational precision therapies that treat the underlying cause of disease and improve the lives of patients. Our most advanced program is bezuclastinib, also known as CGT9486, a highly selective tyrosine kinase inhibitor that is designed to potently inhibit the KIT D816V mutation as well as other mutations in KIT exon 17. In the vast majority of cases, KIT D816V is responsible for driving Systemic Mastocytosis (“SM”), a serious and rare disease caused by unchecked proliferation of mast cells. Exon 17 mutations are also found in patients with advanced gastrointestinal stromal tumors (“GIST”), a type of cancer with strong dependence on oncogenic KIT signaling. Bezuclastinib is a highly selective and potent KIT inhibitor with the potential to provide a new treatment option for these patient populations. We are developing bezuclastinib to treat patients living with Non-Advanced Systemic Mastocytosis (“NonAdvSM”), Advanced Systemic Mastocytosis (“AdvSM”) and GIST. In 2025 we reported positive top-line results from registrational trials in each of these indications, and we</w:t>
      </w:r>
      <w:r>
        <w:rPr>
          <w:rFonts w:ascii="Times New Roman" w:hAnsi="Times New Roman"/>
          <w:color w:val="231F20"/>
          <w:sz w:val="20"/>
        </w:rPr>
        <w:t xml:space="preserve"> subsequently filed three New Drug Applications (each, an “NDA”) that are all currently pending review with the </w:t>
      </w:r>
      <w:r>
        <w:rPr>
          <w:rFonts w:ascii="Times New Roman" w:hAnsi="Times New Roman"/>
          <w:color w:val="000000"/>
          <w:sz w:val="20"/>
        </w:rPr>
        <w:t xml:space="preserve">U.S. Food and Drug Administration (“FDA”).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bezuclastinib represents a significant commercial opportunity across each of these indications. Based on internal analyses and external market research, we estimate a global annual market opportunity of over $4 billion for bezuclastinib in combination with sunitinib as a potential second-line treatment for patients with GIST, approximately $3.5 billion for the treatment of patients with NonAdvSM, and approximately $500 million for the treatment of patients with AdvSM. We are building an internal commercial organization and expect to launch bezuclastinib commercially in the United States in the second half of 2026, pending regulatory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bezuclastinib, we have a growing portfolio of novel targeted therapy candidates. We have an ongoing Phase 1 dose escalation study of our CNS-penetrant, selective mutant ErbB2 inhibitor and a Phase 1 dose escalation study of our potential best-in-class, wild-type-sparing, PI3Kα inhibitor. The Cogent Research Team is also developing additional targeted therapies to help patients fighting serious, genetically driven diseases, including programs targeting mutations in KRAS and JAK2.</w:t>
      </w:r>
    </w:p>
    <w:p>
      <w:pPr>
        <w:pStyle w:val="TextBody"/>
        <w:bidi w:val="0"/>
        <w:spacing w:before="120" w:after="283"/>
        <w:jc w:val="both"/>
        <w:rPr/>
      </w:pPr>
      <w:r>
        <w:rPr/>
        <w: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Our Pipeline</w:t>
      </w:r>
    </w:p>
    <w:p>
      <w:pPr>
        <w:pStyle w:val="TextBody"/>
        <w:bidi w:val="0"/>
        <w:spacing w:before="120" w:after="283"/>
        <w:jc w:val="center"/>
        <w:rPr/>
      </w:pPr>
      <w:r>
        <w:rPr/>
        <w:drawing>
          <wp:inline distT="0" distB="0" distL="0" distR="0">
            <wp:extent cx="6191250" cy="2695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191250" cy="2695575"/>
                    </a:xfrm>
                    <a:prstGeom prst="rect">
                      <a:avLst/>
                    </a:prstGeom>
                  </pic:spPr>
                </pic:pic>
              </a:graphicData>
            </a:graphic>
          </wp:inline>
        </w:drawing>
      </w:r>
      <w:r>
        <w:rPr>
          <w:rFonts w:ascii="Times New Roman" w:hAnsi="Times New Roman"/>
          <w:color w:val="000000"/>
          <w:sz w:val="24"/>
        </w:rPr>
        <w:br/>
      </w:r>
      <w:r>
        <w:rPr>
          <w:rFonts w:ascii="Times New Roman" w:hAnsi="Times New Roman"/>
          <w:color w:val="000000"/>
          <w:sz w:val="20"/>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pPr>
      <w:r>
        <w:rPr/>
        <w:t> </w:t>
      </w:r>
    </w:p>
    <w:p>
      <w:pPr>
        <w:pStyle w:val="TextBody"/>
        <w:bidi w:val="0"/>
        <w:spacing w:before="120" w:after="283"/>
        <w:jc w:val="both"/>
        <w:rPr/>
      </w:pPr>
      <w:r>
        <w:rPr/>
        <w: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Bezuclastinib - SM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SM is driven by KIT D816V mutations causing a perpetual ‘on’ state within mast cells, a type of white blood cell, leading to proliferation and accumulation in various internal organs and bone marrow. Key biomarkers of SM include but are not limited to, elevated serum tryptase, high mast cell burden in bone marrow and the KIT D816V variant allele frequency. As a highly selective and potent KIT inhibitor, bezuclastinib has the potential to provide a new treatment option for patients with SM. SM occurs when mast cells inappropriately accumulate in various internal organs in the body. Approximately 90% of SM patients present with NonAdvSM and 10% of patients present with AdvSM, a rare and very aggressive form of SM. There are three subtypes of AdvSM: aggressive SM (“ASM”), SM with associated hematologic neoplasm (“SM-AHN”) and mast cell leukemia (“MCL”).</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SUMMIT is our registration-directed randomized, global, multicenter, double-blind, placebo-controlled, multi-part Phase 2 clinical trial for patients with NonAdvSM. The study is designed to explore the safety and efficacy of bezuclastinib in patients with moderate to severe NonAdvSM, which includes Indolent Systemic Mastocytosis (“ISM”), Smoldering Systemic Mastocytosis (“SSM”) and Bone Marrow Mastocytosis. APEX is our registration-directed global, open-label, multi-center, Phase 2 clinical trial in patients with AdvSM evaluating the safety, efficacy, pharmacokinetic, and pharmacodynamic profiles of bezuclastinib. We reported top-line results from our SUMMIT trial in July 2025 and full results in December 2025, as well as top-line results from our APEX trial in December 2025 and full results in June 2026, all of which were positive and achieved all primary and key secondary endpoints.</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We submitted the first NDA for bezuclastinib in patients with NonAdvSM in December 2025, which was accepted by the FDA in March 2026. The FDA assigned a Prescription Drug User Fee Act ("PDUFA") target action date of December 30, 2026. We submitted an NDA in June 2026 for patients with AdvSM. In October 2025, the FDA granted Breakthrough Therapy Designation for bezuclastinib in NonAdvSM patients previously treated with avapritinib as well as in patients with SSM, both patient populations with no currently approved standard of care. The FDA and European Medicines Agency (“EMA”) have granted orphan drug designation to bezuclastinib for the treatment of Mastocytosis.</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In addition, in 2025, we initiated an expanded access program in the United States to allow eligible SM patients to receive investigational bezuclastinib prior to potential regulatory approval.</w:t>
      </w:r>
    </w:p>
    <w:p>
      <w:pPr>
        <w:pStyle w:val="TextBody"/>
        <w:bidi w:val="0"/>
        <w:spacing w:before="80" w:after="283"/>
        <w:jc w:val="both"/>
        <w:rPr>
          <w:rFonts w:ascii="Times New Roman" w:hAnsi="Times New Roman"/>
          <w:i/>
          <w:color w:val="000000"/>
          <w:sz w:val="20"/>
        </w:rPr>
      </w:pPr>
      <w:r>
        <w:rPr>
          <w:rFonts w:ascii="Times New Roman" w:hAnsi="Times New Roman"/>
          <w:i/>
          <w:color w:val="000000"/>
          <w:sz w:val="20"/>
        </w:rPr>
        <w:t>Bezuclastinib - GIST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also pursuing the development of bezuclastinib in combination with sunitinib as a potential second line treatment for patients living with GIST. GIST is a cancer frequently driven by KIT mutations, and resistance to currently available therapeutics is frequently associated with the emergence of other KIT mutations. First-line therapy for the vast majority of GIST patients is imatinib, followed by sunitinib monotherapy as the current second-line therapy for the majority of patients that eventually develop resistance to imatinib.</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PEAK is our randomized open-label, global Phase 3 clinical trial designed to evaluate the safety, tolerability, and efficacy of bezuclastinib in combination with sunitinib compared to sunitinib alone in patients with locally advanced, unresectable or metastatic GIST who have received prior treatment with imatinib. We reported top-line results from our PEAK trial in November 2025 and full results in May 2026, which demonstrated a substantial and highly statistically significant clinical benefit on the primary endpoint of progression free survival (“PFS”). Median PFS was 16.5 months for the bezuclastinib combination vs. 9.2 months for sunitinib monotherapy, and the bezuclastinib combination reduced the risk of disease progression or death by 50% compared to sunitinib monotherapy. In January 2026, we announced that the FDA agreed to accept our NDA for bezuclastinib in combination with sunitinib for patients with GIST who have received prior treatment with imatinib under the Real-Time Oncology Review (“RTOR”) program and we submitted our GIST NDA in March 2026 under this program, which was accepted by the FDA with Priority Review in May 2026. The FDA assigned a PDUFA target action date of November 30, 2026. In January 2026, the FDA also granted Breakthrough Therapy Designation (“BTD”) for bezuclastinib in combination with sunitinib for patients with GIST who have received prior treatment with imatinib. Bezuclastinib has been granted orphan drug designation for the treatment of GIST by the FDA under the Orphan Drug Act and by the EMA.</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During the second quarter of 2026, we initiated a Phase 2 trial investigating the benefit of the bezuclastinib plus sunitinib combination for first-line GIST patients with exon 9 mutations who are naive to, or recently initiated treatment with, imatinib.</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 xml:space="preserve">In 2025, we initiated an expanded access program in the United States for patients affected with advanced, metastatic, and/or unresectable GIST, who are intolerant to or have experienced disease progression on prior imatinib therapy, to receive investigational bezuclastinib prior to potential regulatory approval. </w:t>
      </w:r>
    </w:p>
    <w:p>
      <w:pPr>
        <w:pStyle w:val="TextBody"/>
        <w:bidi w:val="0"/>
        <w:spacing w:before="80" w:after="283"/>
        <w:jc w:val="both"/>
        <w:rPr>
          <w:rFonts w:ascii="Times New Roman" w:hAnsi="Times New Roman"/>
          <w:i/>
          <w:color w:val="000000"/>
          <w:sz w:val="20"/>
        </w:rPr>
      </w:pPr>
      <w:r>
        <w:rPr>
          <w:rFonts w:ascii="Times New Roman" w:hAnsi="Times New Roman"/>
          <w:i/>
          <w:color w:val="000000"/>
          <w:sz w:val="20"/>
        </w:rPr>
        <w:t>Other Bezuclastinib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Worldwide rights to develop and commercialize bezuclastinib are exclusively licensed from Plexxikon Inc., a member of the Daiichi Sankyo Group (“Plexxikon”). Under the terms of the license agreement, Plexxikon received an upfront payment and is eligible for additional development milestones of up to $7.5 million upon the satisfaction of certain clinical milestones and up to $25.0 million upon the satisfaction of certain regulatory milestones. During the second quarter of 2022, as a result of the progression of the PEAK study, the first clinical milestone was achieved, resulting in payment of $2.5 million to Plexxikon in June 2022. In the fourth quarter of 2025, $5.0 million became payable upon the achievement of certain regulatory milestones and was paid in the first quarter of 2026. An additional $15.0 million may become payable in the next twelve months as a result of the achievement of additional regulatory milestones. Plexxikon is also eligible to receive tiered royalties ranging from a low-single digit percentage to a high-single digit percentage on annual net sales of products, on a product-by-product and country-by-country basis until the later of the expiration of the last valid claim of a licensed Plexxikon patent covering the applicable product in a country or the tenth anniversary of the first commercial sale of the product in that country.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Patents protecting bezuclastinib include composition of matter claims which have been issued in the United States and other key territories and provide exclusivity through 2033 and potentially beyond through patent term extensions. In addition, we have pending patent applications in the United States and other key territories that seek to protect our optimized formulation of bezuclastinib, which could potentially provide exclusivity through at least 2043, as well as a pending U.S. provisional patent application directed to methods of administering bezuclastinib, which could potentially provide exclusivity through at least 2046.</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CGT4255 (ErbB2)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also advancing a novel, ErbB2 mutant program, which is focused on actionable and underserved mutations in a variety of solid tumor systemic and CNS involved indications. HER2 alterations such as amplification, overexpression, insertions, and point mutations, are established oncogenic drivers in many solid tumors. Activating HER2 mutations are found in 2-4% of advanced lung cancers and have emerged as mechanisms of acquired resistance to targeted therapies. Patients with HER2 mutant lung tumors develop more brain metastasis during treatment than patients with any other oncogenic drivers in lung cancer. Addressing brain metastasis in this group of patients remains a clinical challenge with limited therapeutic options. Approved HER2 tyrosine kinase inhibitors have inferior potency against key mutations and lack sufficient brain penetration to be an impactful treatment option for patients with brain metastasis. We received clearance from the FDA on our investigational new drug application (“IND”) submission for CGT4255 and have an ongoing Phase 1 dose escalation study.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CGT6297 (PI3Kα)</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research team is developing a potential best-in-class, wild-type-sparing, PI3Kα inhibitor that provides coverage of both the H1047R mutation as well as E542K and E545K helical mutants, which affects &gt;30,000 cancer patients each year. The phosphoinositide 3-kinase (“PI3K”) pathway is a key cell cycle regulating pathway that has an established role in tumor growth and development. PI3Kα mutations are highly prevalent in many solid tumors and are present in 36% of all breast cancer patients. The approved agents for these patients often lead to dose limitations, resulting from activity against wild-type PI3Kα. IND-enabling studies have been completed for CGT6297 and we submitted an IND application for this program in the fourth quarter of 2025. We have an ongoing Phase 1 dose escalation study.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Research Programs</w:t>
      </w:r>
    </w:p>
    <w:p>
      <w:pPr>
        <w:pStyle w:val="TextBody"/>
        <w:bidi w:val="0"/>
        <w:spacing w:before="240" w:after="283"/>
        <w:jc w:val="both"/>
        <w:rPr>
          <w:rFonts w:ascii="Times New Roman" w:hAnsi="Times New Roman"/>
          <w:sz w:val="20"/>
        </w:rPr>
      </w:pPr>
      <w:r>
        <w:rPr>
          <w:rFonts w:ascii="Times New Roman" w:hAnsi="Times New Roman"/>
          <w:i/>
          <w:color w:val="000000"/>
          <w:sz w:val="20"/>
        </w:rPr>
        <w:t>KRAS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research team is developing a potent and selective KRAS inhibitor. Mutations in KRAS are among the most prevalent mutations found in cancer, occurring most often in colorectal cancer, non-small cell lung cancer and pancreatic cancer. We plan to submit an IND for this program in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JAK2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research team is developing a novel, wild-type-sparing, JAK2 V617F mutant-selective inhibitor. The JAK2 V617F mutation is the most prevalent molecular abnormality in BCR-ABL-negative myeloproliferative neoplasms, occurring in approximately 95% of patients with polycythemia vera, and 50% of patients with essential thrombocythemia or primary myelofibrosis. We plan to submit an IND for this program in 2026.</w:t>
      </w:r>
    </w:p>
    <w:p>
      <w:pPr>
        <w:pStyle w:val="TextBody"/>
        <w:bidi w:val="0"/>
        <w:spacing w:before="360" w:after="283"/>
        <w:jc w:val="both"/>
        <w:rPr>
          <w:rFonts w:ascii="Times New Roman" w:hAnsi="Times New Roman"/>
          <w:sz w:val="20"/>
        </w:rPr>
      </w:pPr>
      <w:r>
        <w:rPr>
          <w:rFonts w:ascii="Times New Roman" w:hAnsi="Times New Roman"/>
          <w:b/>
          <w:color w:val="000000"/>
          <w:sz w:val="20"/>
        </w:rPr>
        <w:t>Financial Operations Overview</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Since our inception in 2014, we have focused significant efforts and financial resources on establishing and protecting our intellectual property portfolio, conducting research and development of our product candidates, manufacturing drug product material for use in preclinical studies and clinical trials, staffing our company, and raising capital. We do not have any products approved for sale and have not generated any revenue from product sales. Our net loss was $193.8 million for the six months ended June 30, 2026 compared to net loss of $145.5 million for the six months ended June 30, 2025. As of June 30, 2026, we had an accumulated deficit of $1,382.2 million. We expect to continue to incur significant expenses and operating losses for at least the next several years. We expect that our expenses and capital requirements will increase substantially in connection with our ongoing activities, particularly if and as we: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seek regulatory approvals for any product candidates that successfully complete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a sales, marketing, and distribution infrastructure to commercialize any products for which we may obtain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establish a commercial manufacturing source and secure supply chain capacity sufficient to provide commercial quantities of any product candidates for which we may obtain regulatory approval;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maintain, expand, and protect our intellectual property portfolio;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 operational, financial, and management information systems and personnel, including personnel to support our product development and planned future commercialization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initiate and increase enrollment for our existing and planned clinical trials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to discover and develop additional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acquire or in-license other product candidates and technologies;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hire additional research, clinical, scientific, and commercial personnel.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will not generate revenue from product sales unless and until we obtain regulatory approval for our product candidates. If we obtain regulatory approval for any of our product candidates and do not enter into a commercialization partnership, we expect to incur significant expenses related to developing our internal commercialization capability to support product sales, marketing, and distribution.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Because of the numerous risks and uncertainties associated with pharmaceutical product development, we are unable to accurately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we had cash, cash equivalents and marketable securities of $792.3 million. We believe that our cash, cash equivalents and marketable securities, with the $71.4 million net proceeds from shares sold under our ATM after the end of the quarter, will be sufficient to fund our operating expenses and capital expenditure requirements into late 2028, including through potential FDA approval of bezuclastinib and commercial launch for SM and GIST.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Components of Our Results of Operations</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Times New Roman" w:hAnsi="Times New Roman"/>
          <w:i/>
          <w:color w:val="000000"/>
          <w:sz w:val="20"/>
        </w:rPr>
        <w:t>Operating Expenses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Research and development expenses consist primarily of costs incurred for our research activities, including our drug discovery efforts, and the development of our product candidates, which include: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expenses incurred in connection with the discovery, preclinical and clinical development of our product candidates, including under agreements with third parties, such as consultants, contractors and contract research organizations;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developing and manufacturing material for use in our preclinical studies and clinical trials, including under agreements with consultants and third party contractors and contract manufacturing organizations;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employee-related expenses, including salaries, related benefits and stock-based compensation expense for employees engaged in research and development functions;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laboratory supplies and animal care;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facilities, depreciation and other expenses, which include direct and allocated expenses for rent and maintenance of facilities and insurance;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payments made under third-party licensing agreements.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do not allocate employee costs, laboratory supplies, software and facilities, including depreciation or other indirect costs, to specific product development programs because these costs are deployed across multiple product development programs and, as such, are not separately classified. We expense research and development costs as incurred. Advance payments that we make for goods or services to be received in the future for use in research and development activities are recorded as prepaid expenses. The prepaid amounts are expensed as the related goods are delivered or the services are performed.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in connection with our planned clinical and preclinical development activities in the near term and in the future. At this time, we cannot reasonably estimate or know the nature, timing, and costs of the efforts that will be necessary to complete the preclinical and clinical development of any of our product candidates. The successful development and commercialization of our product candidates is highly uncertain. This is due to the numerous risks and uncertainties associated with product development and commercialization, including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progress of our preclinical and clinical development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and scope of preclinical and clinical programs we decide to pursue;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progress of the development efforts of parties with whom we have entered, or may enter, into collaboration arrangements;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maintain our current research and development programs and to establish new ones;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enrollment rates in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new licensing or collaboration arrangements;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future productivity of the Cogent Research Team in Boulder, CO and its ability to discover new product candidates and build our pipeline;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successful completion of clinical trials with safety, tolerability, and efficacy profiles that are satisfactory to the FDA or any comparable foreign regulatory authority;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receipt of regulatory approvals from applicable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success in establishing and operating a manufacturing facility, or securing manufacturing supply through relationships with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and maintain patents, trade secret protection, and regulatory exclusivity, both in the United States and internationally;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protect our rights in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commercialization of our product candidates, if and when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acceptance of our product candidates, if approved, by patients, the medical community, and third-party payors;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competition with other products;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continued acceptable safety profile of our therapies following approval.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change in the outcome of any of these variables with respect to the development of any of our product candidates could significantly change the costs and timing associated with the development of that product candidate. We may never succeed in obtaining regulatory approval for any of our product candidates. </w:t>
      </w:r>
    </w:p>
    <w:p>
      <w:pPr>
        <w:pStyle w:val="TextBody"/>
        <w:bidi w:val="0"/>
        <w:spacing w:before="240" w:after="283"/>
        <w:jc w:val="both"/>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General and administrative expenses consist primarily of salaries and related costs, including stock-based compensation, for personnel in executive, finance, commercial and administrative functions. General and administrative expenses also include direct and allocated facility-related costs as well as professional fees for legal, patent, consulting, investor and public relations, accounting, and audit services. We anticipate that our general and administrative expenses will increase in the future as a result of the costs associated with the expansion of operations to support our ongoing discovery, preclinical and clinical activities and planned commercial launch.</w:t>
      </w:r>
    </w:p>
    <w:p>
      <w:pPr>
        <w:pStyle w:val="TextBody"/>
        <w:bidi w:val="0"/>
        <w:spacing w:before="240" w:after="283"/>
        <w:jc w:val="both"/>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Interest income consists of interest earned on our cash equivalents and marketable securities balances.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Interest expense consists of interest incurred on the Notes and the Credit Facility (as defined below) and associated amortization of issuance costs and the accretion of debt discount.</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income (expense), net consists of miscellaneous income and expense unrelated to our core operations.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Income Taxes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Since our inception, we have not recorded any current or deferred tax benefit for the net losses we have incurred in each year or for our tax credits generated, as we believe, based upon the weight of available evidence, that it is more likely than not that our net operating loss carryforwards and tax credits will not be realized. Accordingly, a full valuation allowance has been established against the deferred tax assets as of December 31, 2025. We reevaluate the utilization of net operating loss carryforwards and tax credits at each reporting period. As of December 31, 2025, we had U.S. federal and state net operating loss carryforwards of $428.3 million and $170.8 million, respectively, which may be available to offset future taxable income and begin to expire in 2035. Of the federal net operating loss carryforwards at December 31, 2025, $425.0 million is available to be carried forward indefinitely but we are permitted to offset a maximum of 80% of taxable income per year. As of December 31, 2025, we had U.S. federal and state research and development tax credit carryforwards of $28.8 million and $6.0 million, respectively, which may be available to offset future income tax liabilities and begin to expire in 2040 and 2035, respectively. We also had federal orphan drug tax credits of $37.1 million which may be available to offset future income tax liabilities and begin to expire in 2041.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Utilization of the U.S. federal and state net operating loss carryforwards and tax credit carryforwards may be subject to a substantial annual limitation under Section 382 of the Internal Revenue Code of 1986, and corresponding provisions of state law,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stockholders or public groups in the stock of a corporation by more than 50% over a three-year period.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recorded a full valuation allowance against our net deferred tax assets at each balance sheet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Comparison of the Three Months Ended June 30, 2026 and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results of operations for the three months ended June 30, 2026 and 2025: </w:t>
      </w:r>
    </w:p>
    <w:p>
      <w:pPr>
        <w:pStyle w:val="TextBody"/>
        <w:bidi w:val="0"/>
        <w:jc w:val="both"/>
        <w:rPr/>
      </w:pPr>
      <w:r>
        <w:rPr/>
        <w:t> </w:t>
      </w:r>
    </w:p>
    <w:tbl>
      <w:tblPr>
        <w:tblW w:w="7313" w:type="dxa"/>
        <w:jc w:val="left"/>
        <w:tblInd w:w="0" w:type="dxa"/>
        <w:tblLayout w:type="fixed"/>
        <w:tblCellMar>
          <w:top w:w="28" w:type="dxa"/>
          <w:left w:w="28" w:type="dxa"/>
          <w:bottom w:w="28" w:type="dxa"/>
          <w:right w:w="28" w:type="dxa"/>
        </w:tblCellMar>
      </w:tblPr>
      <w:tblGrid>
        <w:gridCol w:w="2786"/>
        <w:gridCol w:w="146"/>
        <w:gridCol w:w="211"/>
        <w:gridCol w:w="841"/>
        <w:gridCol w:w="166"/>
        <w:gridCol w:w="146"/>
        <w:gridCol w:w="211"/>
        <w:gridCol w:w="736"/>
        <w:gridCol w:w="166"/>
        <w:gridCol w:w="146"/>
        <w:gridCol w:w="211"/>
        <w:gridCol w:w="736"/>
        <w:gridCol w:w="811"/>
      </w:tblGrid>
      <w:tr>
        <w:trPr/>
        <w:tc>
          <w:tcPr>
            <w:tcW w:w="2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27,056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(27,056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(22,876</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research and development expenses for the three months ended June 30, 2026 and 2025:</w:t>
      </w:r>
    </w:p>
    <w:p>
      <w:pPr>
        <w:pStyle w:val="TextBody"/>
        <w:bidi w:val="0"/>
        <w:spacing w:before="120" w:after="283"/>
        <w:jc w:val="both"/>
        <w:rPr/>
      </w:pPr>
      <w:r>
        <w:rPr/>
        <w:t> </w:t>
      </w:r>
    </w:p>
    <w:tbl>
      <w:tblPr>
        <w:tblW w:w="9001" w:type="dxa"/>
        <w:jc w:val="left"/>
        <w:tblInd w:w="0" w:type="dxa"/>
        <w:tblLayout w:type="fixed"/>
        <w:tblCellMar>
          <w:top w:w="28" w:type="dxa"/>
          <w:left w:w="28" w:type="dxa"/>
          <w:bottom w:w="28" w:type="dxa"/>
          <w:right w:w="28" w:type="dxa"/>
        </w:tblCellMar>
      </w:tblPr>
      <w:tblGrid>
        <w:gridCol w:w="4866"/>
        <w:gridCol w:w="146"/>
        <w:gridCol w:w="231"/>
        <w:gridCol w:w="741"/>
        <w:gridCol w:w="160"/>
        <w:gridCol w:w="160"/>
        <w:gridCol w:w="231"/>
        <w:gridCol w:w="741"/>
        <w:gridCol w:w="146"/>
        <w:gridCol w:w="146"/>
        <w:gridCol w:w="211"/>
        <w:gridCol w:w="631"/>
        <w:gridCol w:w="591"/>
      </w:tblGrid>
      <w:tr>
        <w:trPr/>
        <w:tc>
          <w:tcPr>
            <w:tcW w:w="4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external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Bezuclastinib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25,593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Early-stage, preclinical and discovery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11,791</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related (including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26,204</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Laboratory supplies, facility related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7,223</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70,811</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Total research and development expense increased by $8.6 million for the three months ended June 30, 2026 compared to the three months ended June 30, 2025. The increase was primarily driven by costs to support the SUMMIT, PEAK and APEX clinical programs, regulatory activities associated with potential approvals of bezuclastinib, continued investment in the company's early-stage research pipeline, and pre-approval manufacturing costs that would otherwise be capitalized following anticipated FDA approval. The change also includes an increase in stock-based compensation expense of $3.6 million for the three months ended June 30, 2026 as compared to the three months ended June 30, 2025.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for the three months ended June 30, 2026 were $31.8 million, compared to $13.4 million for the three months ended June 30, 2025. The increase in general and administrative expenses was driven by continued investments in commercial readiness, including personnel and infrastructure to support the potential launch of bezuclastinib, as well as overall organizational growth.</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income for the three months ended June 30, 2026 was $7.5 million, compared to $2.4 million for the three months ended June 30, 2025. The increase is due to higher invested balances in cash equivalents and marketable securities.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Interest expense for the three months ended June 30, 2026 was $1.2 million related to the Notes and associated amortization of financing costs and the accretion of debt discount. Interest expense for the three months ended June 30, 2025 was $0.3 million related to the Credit Facility and associated amortization of financing costs and the accretion of debt discount.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income (expense), net for the three months ended June 30, 2026 and 2025 was not material and represented miscellaneous expense.</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Comparison of the Six Months Ended June 30, 2026 and 2025</w:t>
      </w:r>
    </w:p>
    <w:p>
      <w:pPr>
        <w:pStyle w:val="TextBody"/>
        <w:bidi w:val="0"/>
        <w:spacing w:before="120" w:after="360"/>
        <w:jc w:val="both"/>
        <w:rPr>
          <w:rFonts w:ascii="Times New Roman" w:hAnsi="Times New Roman"/>
          <w:color w:val="000000"/>
          <w:sz w:val="20"/>
        </w:rPr>
      </w:pPr>
      <w:r>
        <w:rPr>
          <w:rFonts w:ascii="Times New Roman" w:hAnsi="Times New Roman"/>
          <w:color w:val="000000"/>
          <w:sz w:val="20"/>
        </w:rPr>
        <w:t xml:space="preserve">The following table summarizes our results of operations for the six months ended June 30, 2026 and 2025: </w:t>
      </w:r>
    </w:p>
    <w:tbl>
      <w:tblPr>
        <w:tblW w:w="7418" w:type="dxa"/>
        <w:jc w:val="left"/>
        <w:tblInd w:w="0" w:type="dxa"/>
        <w:tblLayout w:type="fixed"/>
        <w:tblCellMar>
          <w:top w:w="28" w:type="dxa"/>
          <w:left w:w="28" w:type="dxa"/>
          <w:bottom w:w="28" w:type="dxa"/>
          <w:right w:w="28" w:type="dxa"/>
        </w:tblCellMar>
      </w:tblPr>
      <w:tblGrid>
        <w:gridCol w:w="2786"/>
        <w:gridCol w:w="146"/>
        <w:gridCol w:w="211"/>
        <w:gridCol w:w="841"/>
        <w:gridCol w:w="166"/>
        <w:gridCol w:w="146"/>
        <w:gridCol w:w="211"/>
        <w:gridCol w:w="841"/>
        <w:gridCol w:w="166"/>
        <w:gridCol w:w="146"/>
        <w:gridCol w:w="211"/>
        <w:gridCol w:w="736"/>
        <w:gridCol w:w="811"/>
      </w:tblGrid>
      <w:tr>
        <w:trPr/>
        <w:tc>
          <w:tcPr>
            <w:tcW w:w="2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34,786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(55,730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(48,242</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research and development expenses for the six months ended June 30, 2026 and 2025:</w:t>
      </w:r>
    </w:p>
    <w:p>
      <w:pPr>
        <w:pStyle w:val="TextBody"/>
        <w:bidi w:val="0"/>
        <w:spacing w:before="120" w:after="283"/>
        <w:jc w:val="both"/>
        <w:rPr/>
      </w:pPr>
      <w:r>
        <w:rPr/>
        <w:t> </w:t>
      </w:r>
    </w:p>
    <w:tbl>
      <w:tblPr>
        <w:tblW w:w="9058" w:type="dxa"/>
        <w:jc w:val="left"/>
        <w:tblInd w:w="0" w:type="dxa"/>
        <w:tblLayout w:type="fixed"/>
        <w:tblCellMar>
          <w:top w:w="28" w:type="dxa"/>
          <w:left w:w="28" w:type="dxa"/>
          <w:bottom w:w="28" w:type="dxa"/>
          <w:right w:w="28" w:type="dxa"/>
        </w:tblCellMar>
      </w:tblPr>
      <w:tblGrid>
        <w:gridCol w:w="4866"/>
        <w:gridCol w:w="146"/>
        <w:gridCol w:w="211"/>
        <w:gridCol w:w="781"/>
        <w:gridCol w:w="146"/>
        <w:gridCol w:w="146"/>
        <w:gridCol w:w="211"/>
        <w:gridCol w:w="781"/>
        <w:gridCol w:w="146"/>
        <w:gridCol w:w="146"/>
        <w:gridCol w:w="211"/>
        <w:gridCol w:w="676"/>
        <w:gridCol w:w="591"/>
      </w:tblGrid>
      <w:tr>
        <w:trPr/>
        <w:tc>
          <w:tcPr>
            <w:tcW w:w="4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external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Bezuclastinib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Early-stage, preclinical and discovery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related (including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Laboratory supplies, facility related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Total research and development expense increased by $20.9 million for the six months ended June 30, 2026 compared to the six months ended June 30, 2025. The increase was primarily driven by costs to support the SUMMIT, PEAK and APEX clinical programs, regulatory activities associated with potential approvals of bezuclastinib, continued investment in the company's early-stage research pipeline, and pre-approval manufacturing costs that would otherwise be capitalized following anticipated FDA approval. The change also includes an increase in stock-based compensation expense of $7.3 million for the six months ended June 30, 2026 as compared to the six months ended June 30,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for the six months ended June 30, 2026 were $60.1 million, compared to $25.3 million for the six months ended June 30, 2025. The increase in general and administrative expenses was driven by continued investments in commercial readiness, including personnel and infrastructure to support the potential launch of bezuclastinib, as well as overall organizational growth.</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income for the six months ended June 30, 2026 was $15.1 million, compared to $5.3 million for the six months ended June 30, 2025. The increase is due to higher invested balances in cash equivalents and marketable securities.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Interest expense for the six months ended June 30, 2026 was $2.4 million related to the Notes and associated amortization of issuance costs and the accretion of debt discount. Interest expense for the six months ended June 30, 2025 was $0.3 million related to the Credit Facility and associated amortization of financing costs and the accretion of debt discount.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income (expense), net for the six months ended June 30, 2026 and 2025 was not material and represented miscellaneous expense.</w:t>
      </w:r>
    </w:p>
    <w:p>
      <w:pPr>
        <w:pStyle w:val="TextBody"/>
        <w:bidi w:val="0"/>
        <w:spacing w:before="360" w:after="283"/>
        <w:jc w:val="both"/>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our inception, we have incurred significant operating losses. We have not yet commercialized any of our product candidates and have generated only limited revenue to date from funding arrangements with our former collaboration partner. While we may generate revenue in the future from the sale of a product candidate, any such revenue would depend on successful regulatory approval and commercial launch. We have historically funded our operations primarily through the public offering and private placement of our securities, issuance of debt, and consideration received from our collaborative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May 6, 2022, we entered into a Sales Agreement (the “Sales Agreement”) with Guggenheim Securities, LLC (“Guggenheim Securities”), pursuant to which we may issue and sell, from time to time, shares of our common stock having an aggregate offering price of up to $75.0 million through Guggenheim Securities, as the sales agent, in an at the market offering (“ATM”) registered under a shelf registration statement on Form S-3. On November 7, 2025, we amended the Sales Agreement to increase the aggregate offering price to up to $300.0 million. No shares were sold under the Sales Agreement during the three months ended June 30, 2026. During the six months ended June 30, 2026, 1,340,699 shares were sold under the Sales Agreement for net proceeds of approximately $45.7 million. As of June 30, 2026, $88.6 million remained unsold and available for sale under the Sales Agreement. Subsequent to June 30, 2026, 1,743,528 shares of common stock were sold under the Sales Agreement for net proceeds of approximately $71.4 million.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we have 185,967,909 shares outstanding on an as-converted basis, which consists of (i) 171,598,409 shares of common stock outstanding, (ii) 39,414 shares of Series A Non-Voting Convertible Preferred Stock that are convertible into 9,853,500 shares of common stock and (iii) 4,516 shares of Series B Non-Voting Convertible Preferred Stock that are convertible into 4,516,000 shares of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we had cash, cash equivalents and marketable securities of $792.3 million. We believe that our cash, cash equivalents and marketable securities, with the $71.4 million net proceeds from shares sold under our ATM after the end of the quarter, will be sufficient to fund our operating expenses and capital expenditure requirements into late 2028, including through potential FDA approval of bezuclastinib and commercial launch for SM and GIST.</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Cash Flows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sources and uses of cash for each of the periods presented: </w:t>
      </w:r>
    </w:p>
    <w:p>
      <w:pPr>
        <w:pStyle w:val="TextBody"/>
        <w:bidi w:val="0"/>
        <w:jc w:val="both"/>
        <w:rPr/>
      </w:pPr>
      <w:r>
        <w:rPr/>
        <w:t> </w:t>
      </w:r>
    </w:p>
    <w:tbl>
      <w:tblPr>
        <w:tblW w:w="8719" w:type="dxa"/>
        <w:jc w:val="left"/>
        <w:tblInd w:w="0" w:type="dxa"/>
        <w:tblLayout w:type="fixed"/>
        <w:tblCellMar>
          <w:top w:w="28" w:type="dxa"/>
          <w:left w:w="28" w:type="dxa"/>
          <w:bottom w:w="28" w:type="dxa"/>
          <w:right w:w="28" w:type="dxa"/>
        </w:tblCellMar>
      </w:tblPr>
      <w:tblGrid>
        <w:gridCol w:w="5766"/>
        <w:gridCol w:w="146"/>
        <w:gridCol w:w="211"/>
        <w:gridCol w:w="841"/>
        <w:gridCol w:w="166"/>
        <w:gridCol w:w="146"/>
        <w:gridCol w:w="211"/>
        <w:gridCol w:w="841"/>
        <w:gridCol w:w="391"/>
      </w:tblGrid>
      <w:tr>
        <w:trPr/>
        <w:tc>
          <w:tcPr>
            <w:tcW w:w="5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(121,053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78,289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72,197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(decrease)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29,433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used in operating activities was $164.2 million during the six months ended June 30, 2026 and primarily consisted of a net loss of $193.8 million, adjusted for changes in our net working capital and other non-cash items, including stock-based compensation of $34.0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used in operating activities was $121.1 million during the six months ended June 30, 2025 and primarily resulted from our net loss of $145.5 million, adjusted for changes in our net working capital and other non-cash items, including stock-based compensation of $19.7 million.</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 months ended June 30, 2026, net cash used in investing activities was $22.2 million, which consisted of purchases of marketable securities and property and equipment, partially offset by maturities and sales of marketable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 months ended June 30, 2025, net cash provided by investing activities was $78.3 million which consisted of maturities and sales of marketable securities, partially offset by purchases of property and equipment and marketable securities.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 months ended June 30, 2026, net cash provided by financing activities was $55.5 million, which consisted of $45.7 million in proceeds from the issuance of common stock under the ATM, net of paid issuance costs, proceeds from the issuance of common stock upon stock option exercises, and proceeds from the issuance of common stock under the Employee Stock Purchase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 months ended June 30, 2025, net cash provided by financing activities was $72.2 million, which consisted of $47.2 million in proceeds from the Credit Facility, net of paid issuance costs, $24.3 million in proceeds from the issuance of common stock under the ATM, net of paid issuance costs, proceeds from the issuance of common stock under the 2018 Employee Stock Purchase Plan and proceeds from the issuance of common stock upon stock option exercises.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Funding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our expenses to increase in connection with our ongoing activities, particularly as we prepare to commercialize bezuclastinib (if approved), advance the clinical development of our current and any future product candidates and conduct additional research, development and preclinical activities. The timing and amount of our operating expenditures will depend largely 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delay in our regulatory filings for our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regulatory decisions, including failure to receive regulatory approval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progress, timing, and completion of preclinical studies and clinical trials for our current and future potential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adequate product supply for any approved product or our inability to do so at acceptable prices;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 sales, marketing, and distribution infrastructure to commercialize any products for which we may obtain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commercialize our product candidates or gain market acceptance by physicians, patients, third-party payors, and others in the medical community;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adverse results or delays in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decision to initiate a clinical trial, not to initiate a clinical trial, or to terminate an existing clinical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laws or regulations applicable to our products, including but not limited to clinical trial requirements for approvals;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adverse developments concerning our manufacturers;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collaborations, if desired or needed;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additions or departures of key scientific or management personnel;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unanticipated serious safety concerns related to the use of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June 30, 2026, we had cash, cash equivalents and marketable securities of $792.3 million. We believe that our cash, cash equivalents and marketable securities, with the $71.4 million net proceeds from shares sold under our ATM after the end of the quarter, will be sufficient to fund our operating expenses and capital expenditure requirements into late 2028, including through potential FDA approval of bezuclastinib and commercial launch for SM and GIST. We have based this estimate on assumptions that may prove to be wrong, and we could exhaust our available capital resources sooner than we expect.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Until such time, if ever, as we can generate substantial product revenue, we expect to finance our operations through a combination of equity offerings, additional debt financings, collaborations, strategic alliances, and marketing, distribution, or licensing arrangements. To the extent that we raise additional capital through the sale of equity or convertible debt securities, existing ownership interests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marketing, distribution, or licensing arrangements with third parties, we may have to relinquish valuable rights to our technologies, future revenue streams, research programs or drug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drug candidates that we would otherwise prefer to develop and market ourselves. </w:t>
      </w:r>
    </w:p>
    <w:p>
      <w:pPr>
        <w:pStyle w:val="TextBody"/>
        <w:bidi w:val="0"/>
        <w:spacing w:before="360" w:after="283"/>
        <w:jc w:val="both"/>
        <w:rPr>
          <w:rFonts w:ascii="Times New Roman" w:hAnsi="Times New Roman"/>
          <w:sz w:val="20"/>
        </w:rPr>
      </w:pPr>
      <w:r>
        <w:rPr>
          <w:rFonts w:ascii="Times New Roman" w:hAnsi="Times New Roman"/>
          <w:b/>
          <w:color w:val="000000"/>
          <w:sz w:val="20"/>
        </w:rPr>
        <w:t>Critical Accounting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have been no material changes in our critical accounting policies during the six months ended June 30, 2026, as compared to those described under the heading “Management’s Discussion and Analysis of Financial Condition and Results of Operations—Critical Accounting Policies and Significant Judgments and Estimates” in our Annual Report on Form 10-K. </w:t>
      </w:r>
    </w:p>
    <w:p>
      <w:pPr>
        <w:pStyle w:val="TextBody"/>
        <w:bidi w:val="0"/>
        <w:spacing w:before="360" w:after="283"/>
        <w:jc w:val="both"/>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did not have during the periods presented, and we do not currently have, any off-balance sheet arrangements, as defined in the rules and regulations of the SEC.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 xml:space="preserve">Contractual Obligations and Commitments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description of our material cash requirements, including commitments for capital expenditures, is described above and disclosed in Note 7 and Note 8 to our condensed consolidated financial statements appearing elsewhere in this Quarterly Report on Form 10-Q.</w:t>
      </w:r>
    </w:p>
    <w:p>
      <w:pPr>
        <w:pStyle w:val="TextBody"/>
        <w:bidi w:val="0"/>
        <w:spacing w:before="360" w:after="283"/>
        <w:jc w:val="both"/>
        <w:rPr>
          <w:rFonts w:ascii="Times New Roman" w:hAnsi="Times New Roman"/>
          <w:sz w:val="20"/>
        </w:rPr>
      </w:pPr>
      <w:r>
        <w:rPr>
          <w:rFonts w:ascii="Times New Roman" w:hAnsi="Times New Roman"/>
          <w:b/>
          <w:color w:val="000000"/>
          <w:sz w:val="20"/>
        </w:rPr>
        <w:t>Recently Issued Accounting Pronouncements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description of recently issued accounting pronouncements that may potentially impact our financial position and results of operations is disclosed in Note 2 to our condensed consolidated financial statements appearing elsewhere in this Quarterly Report on Form 10-Q. </w:t>
      </w:r>
    </w:p>
    <w:p>
      <w:pPr>
        <w:pStyle w:val="TextBody"/>
        <w:bidi w:val="0"/>
        <w:spacing w:before="120" w:after="283"/>
        <w:jc w:val="both"/>
        <w:rPr/>
      </w:pPr>
      <w:r>
        <w:rPr/>
        <w:t> </w:t>
      </w:r>
    </w:p>
    <w:p>
      <w:pPr>
        <w:pStyle w:val="TextBody"/>
        <w:bidi w:val="0"/>
        <w:jc w:val="both"/>
        <w:rPr>
          <w:rFonts w:ascii="Times New Roman" w:hAnsi="Times New Roman"/>
          <w:sz w:val="20"/>
        </w:rPr>
      </w:pPr>
      <w:bookmarkStart w:id="10" w:name="item_3_quantitative_qualitative_disclosu"/>
      <w:bookmarkEnd w:id="10"/>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have been no material changes to our market risks as described in our Annual Report on Form 10-K for the year ended December 31, 2025, as filed with the SEC on February 17,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bookmarkStart w:id="11" w:name="item_4_controls_procedures"/>
      <w:bookmarkEnd w:id="11"/>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Evaluation of Disclosure Controls and Procedures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with the participation of our Chief Executive Officer and President and our Chief Financial Officer (our principal executive officer and principal financial officer, respectively), evaluated the effectiveness of our disclosure controls and procedures as of June 30, 2026.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2026, our Chief Executive Officer and our Chief Financial Officer concluded that, as of such date, our disclosure controls and procedures were effective at the reasonable assurance level. </w:t>
      </w:r>
    </w:p>
    <w:p>
      <w:pPr>
        <w:pStyle w:val="TextBody"/>
        <w:bidi w:val="0"/>
        <w:spacing w:before="360" w:after="283"/>
        <w:jc w:val="both"/>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 change in our internal control over financial reporting (as defined in Rules 13a-15(f) and 15d-15(f) under the Exchange Act) occurred during the three months ended June 30, 2026 that has materially affected, or is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2" w:name="part_iior_information"/>
      <w:bookmarkEnd w:id="12"/>
      <w:r>
        <w:rPr>
          <w:rFonts w:ascii="Times New Roman" w:hAnsi="Times New Roman"/>
          <w:b/>
          <w:color w:val="000000"/>
          <w:sz w:val="20"/>
        </w:rPr>
        <w:t>PART II—OTHER INFORMATION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bookmarkStart w:id="13" w:name="item_1_legal_proceedings"/>
      <w:bookmarkEnd w:id="13"/>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not currently subject to any material legal proceedings. From time to time, we may be subject to various legal proceedings and claims that arise in the ordinary course of our business activities. Regardless of the outcome, litigation can have a material adverse effect on us because of defense and settlement costs, diversion of management resources, and other factors.</w:t>
      </w:r>
    </w:p>
    <w:p>
      <w:pPr>
        <w:pStyle w:val="TextBody"/>
        <w:bidi w:val="0"/>
        <w:spacing w:before="360" w:after="283"/>
        <w:jc w:val="both"/>
        <w:rPr>
          <w:rFonts w:ascii="Times New Roman" w:hAnsi="Times New Roman"/>
          <w:sz w:val="20"/>
        </w:rPr>
      </w:pPr>
      <w:bookmarkStart w:id="14" w:name="item_1a_risk_factors"/>
      <w:bookmarkEnd w:id="14"/>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have been no material changes from our risk factors described in our Annual Report on Form 10-K for the year ended December 31, 2025, as filed with the SEC on February 17, 2026. The risks described in our Form 10-K are not the only risks facing our Company. Additional risk and uncertainties not currently known to us or that we currently deem to be immaterial also may materially adversely affect our business, financial condition and/or operating results.</w:t>
      </w:r>
    </w:p>
    <w:p>
      <w:pPr>
        <w:pStyle w:val="TextBody"/>
        <w:bidi w:val="0"/>
        <w:spacing w:before="360" w:after="283"/>
        <w:jc w:val="both"/>
        <w:rPr>
          <w:rFonts w:ascii="Times New Roman" w:hAnsi="Times New Roman"/>
          <w:b/>
          <w:color w:val="000000"/>
          <w:sz w:val="20"/>
        </w:rPr>
      </w:pPr>
      <w:bookmarkStart w:id="15" w:name="item_2_recent_sales_unregistered_securit"/>
      <w:bookmarkEnd w:id="15"/>
      <w:r>
        <w:rPr>
          <w:rFonts w:ascii="Times New Roman" w:hAnsi="Times New Roman"/>
          <w:b/>
          <w:color w:val="000000"/>
          <w:sz w:val="20"/>
        </w:rPr>
        <w:t>Item 2. Recent Sales of Unregistered Securities and Use of Proceeds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both"/>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both"/>
        <w:rPr>
          <w:rFonts w:ascii="Times New Roman" w:hAnsi="Times New Roman"/>
          <w:sz w:val="20"/>
        </w:rPr>
      </w:pPr>
      <w:bookmarkStart w:id="18" w:name="item_5_or_information"/>
      <w:bookmarkEnd w:id="18"/>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160"/>
        <w:jc w:val="both"/>
        <w:rPr>
          <w:rFonts w:ascii="Times New Roman" w:hAnsi="Times New Roman"/>
          <w:sz w:val="20"/>
        </w:rPr>
      </w:pPr>
      <w:r>
        <w:rPr>
          <w:rFonts w:ascii="Times New Roman" w:hAnsi="Times New Roman"/>
          <w:b/>
          <w:i/>
          <w:color w:val="000000"/>
          <w:sz w:val="20"/>
        </w:rPr>
        <w:t>Adoption of 10b5-1 Trading Plans by Our Directors and Officers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During our fiscal quarter ended June 30, 2026, certain of our Directors entered into written plans for the exercise and sale of our securities that are intended to satisfy the conditions specified in Rule 10b5-1(c) under the Exchange Act for an affirmative defense against liability for trading in securities on the basis of material nonpublic information (each, a “Rule 10b5-1 Trading Plan”) as follows:</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color w:val="000000"/>
          <w:sz w:val="20"/>
        </w:rPr>
        <w:t>On May 28, 2026, Arlene Morris, a member of our Board of Directors, adopted</w:t>
      </w:r>
      <w:r>
        <w:rPr>
          <w:color w:val="000000"/>
        </w:rPr>
        <w:t xml:space="preserve"> </w:t>
      </w:r>
      <w:r>
        <w:rPr>
          <w:rFonts w:ascii="Times New Roman" w:hAnsi="Times New Roman"/>
          <w:color w:val="000000"/>
          <w:sz w:val="20"/>
        </w:rPr>
        <w:t>a Rule 10b5-1 Trading Plan to sell up to 45,510</w:t>
      </w:r>
      <w:r>
        <w:rPr>
          <w:color w:val="000000"/>
        </w:rPr>
        <w:t xml:space="preserve"> </w:t>
      </w:r>
      <w:r>
        <w:rPr>
          <w:rFonts w:ascii="Times New Roman" w:hAnsi="Times New Roman"/>
          <w:color w:val="000000"/>
          <w:sz w:val="20"/>
        </w:rPr>
        <w:t>shares of Cogent common stock through July 31, 2027, subject to certain pricing and other conditions.</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color w:val="000000"/>
          <w:sz w:val="20"/>
        </w:rPr>
        <w:t>On June 25, 2026, Dr. Karen Ferrante, a member of our Board of Directors, adopted</w:t>
      </w:r>
      <w:r>
        <w:rPr>
          <w:color w:val="000000"/>
        </w:rPr>
        <w:t xml:space="preserve"> </w:t>
      </w:r>
      <w:r>
        <w:rPr>
          <w:rFonts w:ascii="Times New Roman" w:hAnsi="Times New Roman"/>
          <w:color w:val="000000"/>
          <w:sz w:val="20"/>
        </w:rPr>
        <w:t>a Rule 10b5-1 Trading Plan to sell up to 63,399</w:t>
      </w:r>
      <w:r>
        <w:rPr>
          <w:color w:val="000000"/>
        </w:rPr>
        <w:t xml:space="preserve"> </w:t>
      </w:r>
      <w:r>
        <w:rPr>
          <w:rFonts w:ascii="Times New Roman" w:hAnsi="Times New Roman"/>
          <w:color w:val="000000"/>
          <w:sz w:val="20"/>
        </w:rPr>
        <w:t>shares of Cogent common stock through June 25, 2027, subject to certain pricing and other conditions.</w:t>
      </w:r>
    </w:p>
    <w:p>
      <w:pPr>
        <w:pStyle w:val="TextBody"/>
        <w:bidi w:val="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July 2026, certain of our Officers entered into Rule 10b5-1 Trading Plan as set forth below (the “Executive Rule 10b5-1 Trading Plans”). Each of the Executive Rule 10b5-1 Trading Plans is intended to facilitate long-term financial and tax planning goals. Each of these Officers intends to sell enough shares of Cogent common stock in order to generate proceeds to exercise incentive stock options (“ISOs”) and hold the resulting shares. Each of these Officers also intends to exercise and sell certain non-qualified stock options in order to mitigate and/or eliminate exposure to alternative minimum tax associated with the exercise of ISOs. Details of the Executive Rule 10b5-1 Trading Plans are as follows:</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color w:val="000000"/>
          <w:sz w:val="20"/>
        </w:rPr>
        <w:t>On July 30, 2026, Andrew Robbins, President and Chief Executive Officer, adopted</w:t>
      </w:r>
      <w:r>
        <w:rPr>
          <w:color w:val="000000"/>
        </w:rPr>
        <w:t xml:space="preserve"> </w:t>
      </w:r>
      <w:r>
        <w:rPr>
          <w:rFonts w:ascii="Times New Roman" w:hAnsi="Times New Roman"/>
          <w:color w:val="000000"/>
          <w:sz w:val="20"/>
        </w:rPr>
        <w:t>a Rule 10b5-1 Trading Plan to (i) sell up to 201,061</w:t>
      </w:r>
      <w:r>
        <w:rPr>
          <w:color w:val="000000"/>
        </w:rPr>
        <w:t xml:space="preserve"> </w:t>
      </w:r>
      <w:r>
        <w:rPr>
          <w:rFonts w:ascii="Times New Roman" w:hAnsi="Times New Roman"/>
          <w:color w:val="000000"/>
          <w:sz w:val="20"/>
        </w:rPr>
        <w:t>shares of Cogent common stock and (ii) use proceeds from such sales to exercise 57,661 ISOs and hold the resulting shares of Cogent common stock, in all cases, subject to certain pricing and other conditions. Mr. Robbins’ Rule 10b5-1 Trading Plan is scheduled to expire no later than June 30, 2027.</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color w:val="000000"/>
          <w:sz w:val="20"/>
        </w:rPr>
        <w:t>On July 30, 2026, John Green, Chief Financial Officer, adopted</w:t>
      </w:r>
      <w:r>
        <w:rPr>
          <w:color w:val="000000"/>
        </w:rPr>
        <w:t xml:space="preserve"> </w:t>
      </w:r>
      <w:r>
        <w:rPr>
          <w:rFonts w:ascii="Times New Roman" w:hAnsi="Times New Roman"/>
          <w:color w:val="000000"/>
          <w:sz w:val="20"/>
        </w:rPr>
        <w:t>a Rule 10b5-1 Trading Plan to (i) sell up to 157,337</w:t>
      </w:r>
      <w:r>
        <w:rPr>
          <w:color w:val="000000"/>
        </w:rPr>
        <w:t xml:space="preserve"> </w:t>
      </w:r>
      <w:r>
        <w:rPr>
          <w:rFonts w:ascii="Times New Roman" w:hAnsi="Times New Roman"/>
          <w:color w:val="000000"/>
          <w:sz w:val="20"/>
        </w:rPr>
        <w:t>shares of Cogent common stock and (ii) use proceeds from such sales to exercise 62,619 ISOs and hold the resulting shares of Cogent common stock, in all cases, subject to certain pricing and other conditions. Mr. Green’s Rule 10b5-1 Trading Plan is scheduled to expire no later than June 30, 2027.</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On July 30, 2026, Dr. Jessica Sachs, Chief Medical Officer, adopted a Rule 10b5-1 Trading Plan to (i) sell up to 27,000 shares of Cogent common stock and (ii) use proceeds from such sales to exercise 66,206 ISOs and hold the resulting shares of Cogent common stock, in all cases, subject to certain pricing and other conditions. Dr. Sachs’ Rule 10b5-1 Trading Plan is scheduled to expire no later than June 30, 2027.</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July 30, 2026, Evan Kearns, Chief Legal Officer, adopted a Rule 10b5-1 Trading Plan to (i) sell up to 116,700 shares of Cogent common stock and (ii) use proceeds from such sales to exercise 61,831 ISOs and hold the resulting shares of Cogent common stock, in all cases, subject to certain pricing and other conditions. Mr. Kearns’ Rule 10b5-1 Trading Plan is scheduled to expire no later than June 30, 2027.</w:t>
      </w:r>
    </w:p>
    <w:p>
      <w:pPr>
        <w:pStyle w:val="TextBody"/>
        <w:bidi w:val="0"/>
        <w:jc w:val="left"/>
        <w:rPr/>
      </w:pPr>
      <w:r>
        <w:rPr/>
        <w:t> </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9" w:name="item_6_exhibits"/>
      <w:bookmarkEnd w:id="19"/>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97"/>
        <w:gridCol w:w="146"/>
        <w:gridCol w:w="9262"/>
      </w:tblGrid>
      <w:tr>
        <w:trPr/>
        <w:tc>
          <w:tcPr>
            <w:tcW w:w="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62" w:type="dxa"/>
            <w:tcBorders/>
            <w:vAlign w:val="center"/>
          </w:tcPr>
          <w:p>
            <w:pPr>
              <w:pStyle w:val="TableContents"/>
              <w:bidi w:val="0"/>
              <w:spacing w:before="0" w:after="283"/>
              <w:jc w:val="left"/>
              <w:rPr>
                <w:sz w:val="4"/>
                <w:szCs w:val="4"/>
              </w:rPr>
            </w:pPr>
            <w:r>
              <w:rPr>
                <w:sz w:val="4"/>
                <w:szCs w:val="4"/>
              </w:rPr>
            </w:r>
          </w:p>
        </w:tc>
      </w:tr>
      <w:tr>
        <w:trPr/>
        <w:tc>
          <w:tcPr>
            <w:tcW w:w="797"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6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Second Supplemental Indenture by and between Cogent Biosciences, Inc. and U.S. Bank Trust Company, National Association, as trustee dated April 27, 2026 (incorporated by reference to Exhibit 4.1 to the Company’s Quarterly Report on Form 10-Q filed with the SEC on May 5, 2026)</w:t>
              </w:r>
            </w:hyperlink>
          </w:p>
        </w:tc>
      </w:tr>
      <w:tr>
        <w:trPr/>
        <w:tc>
          <w:tcPr>
            <w:tcW w:w="7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tcMar>
              <w:top w:w="0" w:type="dxa"/>
              <w:left w:w="0" w:type="dxa"/>
              <w:bottom w:w="0" w:type="dxa"/>
              <w:right w:w="0" w:type="dxa"/>
            </w:tcMar>
            <w:vAlign w:val="center"/>
          </w:tcPr>
          <w:p>
            <w:pPr>
              <w:pStyle w:val="TableContents"/>
              <w:bidi w:val="0"/>
              <w:spacing w:before="0" w:after="283"/>
              <w:jc w:val="left"/>
              <w:rPr/>
            </w:pPr>
            <w:hyperlink w:anchor="cogt-ex31_1.htm">
              <w:r>
                <w:rPr>
                  <w:rStyle w:val="InternetLink"/>
                  <w:rFonts w:ascii="Times New Roman" w:hAnsi="Times New Roman"/>
                  <w:color w:val="0000FF"/>
                  <w:sz w:val="20"/>
                  <w:u w:val="single"/>
                </w:rPr>
                <w:t>Certification of Principal Executive Officer pursuant to Rule 13a-14(a) or Rule 15d-14(a) of the Securities Exchange Act of 1934, as adopted pursuant to Section 302 of the Sarbanes-Oxley Act of 2002</w:t>
              </w:r>
            </w:hyperlink>
          </w:p>
        </w:tc>
      </w:tr>
      <w:tr>
        <w:trPr/>
        <w:tc>
          <w:tcPr>
            <w:tcW w:w="7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tcMar>
              <w:top w:w="0" w:type="dxa"/>
              <w:left w:w="0" w:type="dxa"/>
              <w:bottom w:w="0" w:type="dxa"/>
              <w:right w:w="0" w:type="dxa"/>
            </w:tcMar>
            <w:vAlign w:val="center"/>
          </w:tcPr>
          <w:p>
            <w:pPr>
              <w:pStyle w:val="TableContents"/>
              <w:bidi w:val="0"/>
              <w:spacing w:before="0" w:after="283"/>
              <w:jc w:val="left"/>
              <w:rPr/>
            </w:pPr>
            <w:hyperlink w:anchor="cogt-ex31_2.htm">
              <w:r>
                <w:rPr>
                  <w:rStyle w:val="InternetLink"/>
                  <w:rFonts w:ascii="Times New Roman" w:hAnsi="Times New Roman"/>
                  <w:color w:val="0000FF"/>
                  <w:sz w:val="20"/>
                  <w:u w:val="single"/>
                </w:rPr>
                <w:t>Certification of Principal Financial Officer pursuant to Rule 13a-14(a) or Rule 15d-14(a) of the Securities Exchange Act of 1934, as adopted pursuant to Section 302 of the Sarbanes-Oxley Act of 2002</w:t>
              </w:r>
            </w:hyperlink>
          </w:p>
        </w:tc>
      </w:tr>
      <w:tr>
        <w:trPr/>
        <w:tc>
          <w:tcPr>
            <w:tcW w:w="7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tcMar>
              <w:top w:w="0" w:type="dxa"/>
              <w:left w:w="0" w:type="dxa"/>
              <w:bottom w:w="0" w:type="dxa"/>
              <w:right w:w="0" w:type="dxa"/>
            </w:tcMar>
            <w:vAlign w:val="center"/>
          </w:tcPr>
          <w:p>
            <w:pPr>
              <w:pStyle w:val="TableContents"/>
              <w:bidi w:val="0"/>
              <w:spacing w:before="0" w:after="283"/>
              <w:jc w:val="left"/>
              <w:rPr/>
            </w:pPr>
            <w:hyperlink w:anchor="cogt-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tcMar>
              <w:top w:w="0" w:type="dxa"/>
              <w:left w:w="0" w:type="dxa"/>
              <w:bottom w:w="0" w:type="dxa"/>
              <w:right w:w="0" w:type="dxa"/>
            </w:tcMar>
            <w:vAlign w:val="center"/>
          </w:tcPr>
          <w:p>
            <w:pPr>
              <w:pStyle w:val="TableContents"/>
              <w:bidi w:val="0"/>
              <w:spacing w:before="0" w:after="283"/>
              <w:jc w:val="left"/>
              <w:rPr/>
            </w:pPr>
            <w:hyperlink w:anchor="cogt-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7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cover page for the Company’s Quarterly Report on Form 10-Q has been formatted in Inline XBRL and contained in Exhibit 101</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 Filed herewith </w:t>
      </w:r>
    </w:p>
    <w:p>
      <w:pPr>
        <w:pStyle w:val="TextBody"/>
        <w:bidi w:val="0"/>
        <w:jc w:val="both"/>
        <w:rPr>
          <w:rFonts w:ascii="Times New Roman" w:hAnsi="Times New Roman"/>
          <w:color w:val="000000"/>
          <w:sz w:val="20"/>
        </w:rPr>
      </w:pPr>
      <w:r>
        <w:rPr>
          <w:rFonts w:ascii="Times New Roman" w:hAnsi="Times New Roman"/>
          <w:color w:val="000000"/>
          <w:sz w:val="20"/>
        </w:rPr>
        <w:t xml:space="preserve"> The certifications attached as Exhibits 32.1 and 32.2 that accompany this Quarterly Report on Form 10-Q are not deemed filed with the Securities and Exchange Commission and are not to be incorporated by reference into any filing of Cogent Biosciences, Inc. under the Securities Act of 1933, as amended, or the Securities Exchange Act of 1934, as amended, whether made before or after the date of this Quarterly Report on Form 10-Q, irrespective of any general incorporation language contained in such filing.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0" w:name="signatures"/>
      <w:bookmarkEnd w:id="20"/>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left"/>
        <w:rPr/>
      </w:pPr>
      <w:r>
        <w:rPr/>
        <w:t> </w:t>
      </w:r>
    </w:p>
    <w:tbl>
      <w:tblPr>
        <w:tblW w:w="6123" w:type="dxa"/>
        <w:jc w:val="left"/>
        <w:tblInd w:w="0" w:type="dxa"/>
        <w:tblLayout w:type="fixed"/>
        <w:tblCellMar>
          <w:top w:w="28" w:type="dxa"/>
          <w:left w:w="28" w:type="dxa"/>
          <w:bottom w:w="28" w:type="dxa"/>
          <w:right w:w="28" w:type="dxa"/>
        </w:tblCellMar>
      </w:tblPr>
      <w:tblGrid>
        <w:gridCol w:w="1951"/>
        <w:gridCol w:w="406"/>
        <w:gridCol w:w="3766"/>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COGENT BIOSCIENCES, INC.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Andrew Robbins</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Andrew Robbins</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Green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Green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Accounting and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1" w:name="cogt-ex31_1.htm"/>
      <w:bookmarkStart w:id="22" w:name="kscogtex31_1"/>
      <w:bookmarkEnd w:id="21"/>
      <w:bookmarkEnd w:id="22"/>
      <w:r>
        <w:rPr>
          <w:rFonts w:ascii="Times New Roman" w:hAnsi="Times New Roman"/>
          <w:b/>
          <w:color w:val="000000"/>
          <w:sz w:val="20"/>
        </w:rPr>
        <w:t>Exhibit 31.1</w:t>
      </w:r>
      <w:r>
        <w:rPr>
          <w:rFonts w:ascii="Times New Roman" w:hAnsi="Times New Roman"/>
          <w:color w:val="000000"/>
          <w:sz w:val="20"/>
        </w:rPr>
        <w:t xml:space="preserve"> </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 RULES 13a-14(a) AND 15d-14(a) UNDER THE SECURITIES EXCHANGE ACT OF 1934, 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Andrew Robbins, certify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 I have reviewed this Quarterly Report on Form 10-Q of Cogent Biosciences, Inc.;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tbl>
      <w:tblPr>
        <w:tblW w:w="5714" w:type="dxa"/>
        <w:jc w:val="left"/>
        <w:tblInd w:w="0" w:type="dxa"/>
        <w:tblLayout w:type="fixed"/>
        <w:tblCellMar>
          <w:top w:w="28" w:type="dxa"/>
          <w:left w:w="28" w:type="dxa"/>
          <w:bottom w:w="28" w:type="dxa"/>
          <w:right w:w="28" w:type="dxa"/>
        </w:tblCellMar>
      </w:tblPr>
      <w:tblGrid>
        <w:gridCol w:w="1951"/>
        <w:gridCol w:w="406"/>
        <w:gridCol w:w="146"/>
        <w:gridCol w:w="3211"/>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Andrew Robbins</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Andrew Robbins</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 and President</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3" w:name="cogt-ex31_2.htm"/>
      <w:bookmarkStart w:id="24" w:name="kscogtex31_2"/>
      <w:bookmarkEnd w:id="23"/>
      <w:bookmarkEnd w:id="24"/>
      <w:r>
        <w:rPr>
          <w:rFonts w:ascii="Times New Roman" w:hAnsi="Times New Roman"/>
          <w:b/>
          <w:color w:val="000000"/>
          <w:sz w:val="20"/>
        </w:rPr>
        <w:t>Exhibit 31.2</w:t>
      </w:r>
      <w:r>
        <w:rPr>
          <w:rFonts w:ascii="Times New Roman" w:hAnsi="Times New Roman"/>
          <w:color w:val="000000"/>
          <w:sz w:val="20"/>
        </w:rPr>
        <w:t xml:space="preserve"> </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 RULES 13a-14(a) AND 15d-14(a) UNDER THE SECURITIES EXCHANGE ACT OF 1934, 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John Green, certify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 I have reviewed this Quarterly Report on Form 10-Q of Cogent Biosciences, Inc.;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tbl>
      <w:tblPr>
        <w:tblW w:w="6269" w:type="dxa"/>
        <w:jc w:val="left"/>
        <w:tblInd w:w="0" w:type="dxa"/>
        <w:tblLayout w:type="fixed"/>
        <w:tblCellMar>
          <w:top w:w="28" w:type="dxa"/>
          <w:left w:w="28" w:type="dxa"/>
          <w:bottom w:w="28" w:type="dxa"/>
          <w:right w:w="28" w:type="dxa"/>
        </w:tblCellMar>
      </w:tblPr>
      <w:tblGrid>
        <w:gridCol w:w="1951"/>
        <w:gridCol w:w="406"/>
        <w:gridCol w:w="146"/>
        <w:gridCol w:w="3766"/>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Green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Green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Accounting and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5" w:name="cogt-ex32_1.htm"/>
      <w:bookmarkStart w:id="26" w:name="kscogtex32_1"/>
      <w:bookmarkEnd w:id="25"/>
      <w:bookmarkEnd w:id="26"/>
      <w:r>
        <w:rPr>
          <w:rFonts w:ascii="Times New Roman" w:hAnsi="Times New Roman"/>
          <w:b/>
          <w:color w:val="000000"/>
          <w:sz w:val="20"/>
        </w:rPr>
        <w:t>Exhibit 32.1</w:t>
      </w:r>
      <w:r>
        <w:rPr>
          <w:rFonts w:ascii="Times New Roman" w:hAnsi="Times New Roman"/>
          <w:color w:val="000000"/>
          <w:sz w:val="20"/>
        </w:rPr>
        <w:t xml:space="preserve"> </w:t>
      </w:r>
      <w:r>
        <w:br w:type="page"/>
      </w:r>
    </w:p>
    <w:p>
      <w:pPr>
        <w:pStyle w:val="TextBody"/>
        <w:bidi w:val="0"/>
        <w:spacing w:before="240" w:after="283"/>
        <w:jc w:val="center"/>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18 U.S.C. SECTION 1350,</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on Form 10-Q of Cogent Biosciences, Inc. (the “Company”) for the period ended June 30, 2026 as filed with the Securities and Exchange Commission on the date hereof (the “Report”), the undersigned, Andrew Robbins, President and Chief Executive Officer of the Company, hereby certifies, pursuant to 18 U.S.C. Section 1350, as adopted pursuant to Section 906 of the Sarbanes-Oxley Act of 2002, that to the best of his knowledge: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 the Report fully complies with the requirements of Section 13(a) or 15(d) of the Securities Exchange Act of 1934;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the information contained in the Report fairly presents, in all material respects, the financial condition and results of operations of the Company. </w:t>
      </w:r>
    </w:p>
    <w:tbl>
      <w:tblPr>
        <w:tblW w:w="5714" w:type="dxa"/>
        <w:jc w:val="left"/>
        <w:tblInd w:w="0" w:type="dxa"/>
        <w:tblLayout w:type="fixed"/>
        <w:tblCellMar>
          <w:top w:w="28" w:type="dxa"/>
          <w:left w:w="28" w:type="dxa"/>
          <w:bottom w:w="28" w:type="dxa"/>
          <w:right w:w="28" w:type="dxa"/>
        </w:tblCellMar>
      </w:tblPr>
      <w:tblGrid>
        <w:gridCol w:w="1951"/>
        <w:gridCol w:w="406"/>
        <w:gridCol w:w="146"/>
        <w:gridCol w:w="3211"/>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Andrew Robbins</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Andrew Robbins</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 and President</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7" w:name="cogt-ex32_2.htm"/>
      <w:bookmarkStart w:id="28" w:name="kscogtex32_2"/>
      <w:bookmarkEnd w:id="27"/>
      <w:bookmarkEnd w:id="28"/>
      <w:r>
        <w:rPr>
          <w:rFonts w:ascii="Times New Roman" w:hAnsi="Times New Roman"/>
          <w:b/>
          <w:color w:val="000000"/>
          <w:sz w:val="20"/>
        </w:rPr>
        <w:t>Exhibit 32.2</w:t>
      </w:r>
      <w:r>
        <w:rPr>
          <w:rFonts w:ascii="Times New Roman" w:hAnsi="Times New Roman"/>
          <w:color w:val="000000"/>
          <w:sz w:val="20"/>
        </w:rPr>
        <w:t xml:space="preserve"> </w:t>
      </w:r>
      <w:r>
        <w:br w:type="page"/>
      </w:r>
    </w:p>
    <w:p>
      <w:pPr>
        <w:pStyle w:val="TextBody"/>
        <w:bidi w:val="0"/>
        <w:spacing w:before="240" w:after="283"/>
        <w:jc w:val="center"/>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18 U.S.C. SECTION 1350,</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on Form 10-Q of Cogent Biosciences, Inc. (the “Company”) for the period ended June 30, 2026 as filed with the Securities and Exchange Commission on the date hereof (the “Report”), the undersigned, John Green, Chief Financial Officer of the Company, hereby certifies, pursuant to 18 U.S.C. Section 1350, as adopted pursuant to Section 906 of the Sarbanes-Oxley Act of 2002, that to the best of his knowledge: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 the Report fully complies with the requirements of Section 13(a) or 15(d) of the Securities Exchange Act of 1934;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the information contained in the Report fairly presents, in all material respects, the financial condition and results of operations of the Company. </w:t>
      </w:r>
    </w:p>
    <w:tbl>
      <w:tblPr>
        <w:tblW w:w="6269" w:type="dxa"/>
        <w:jc w:val="left"/>
        <w:tblInd w:w="0" w:type="dxa"/>
        <w:tblLayout w:type="fixed"/>
        <w:tblCellMar>
          <w:top w:w="28" w:type="dxa"/>
          <w:left w:w="28" w:type="dxa"/>
          <w:bottom w:w="28" w:type="dxa"/>
          <w:right w:w="28" w:type="dxa"/>
        </w:tblCellMar>
      </w:tblPr>
      <w:tblGrid>
        <w:gridCol w:w="1951"/>
        <w:gridCol w:w="406"/>
        <w:gridCol w:w="146"/>
        <w:gridCol w:w="3766"/>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Green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Green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Accounting and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22229/000119312526205170/cogt-ex4_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19525</Words>
  <Characters>108300</Characters>
  <CharactersWithSpaces>128746</CharactersWithSpaces>
  <Paragraphs>4644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