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Morris Arlene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COGENT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 THIRD AVENUE,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Cogent Biosciences, Inc.</w:t>
              </w:r>
            </w:hyperlink>
            <w:r>
              <w:rPr/>
              <w:t xml:space="preserve"> [ </w:t>
            </w:r>
            <w:r>
              <w:rPr>
                <w:rFonts w:ascii="Times;serif" w:hAnsi="Times;serif"/>
                <w:color w:val="0000FF"/>
                <w:sz w:val="24"/>
                <w:shd w:fill="FFFFFF" w:val="clear"/>
              </w:rPr>
              <w:t>COGT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31.98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17,901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17,901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stock option shall vest in full upon the earlier of the first anniversary of the date of grant or the date of the 2027 Annual Meeting of Stockholders, subject to the Reporting Person's continued service to the Issuer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Evan D. Kearns,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2520" TargetMode="External"/><Relationship Id="rId5" Type="http://schemas.openxmlformats.org/officeDocument/2006/relationships/hyperlink" Target="http://www.sec.gov/cgi-bin/browse-edgar?action=getcompany&amp;CIK=00016222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3305</Characters>
  <CharactersWithSpaces>3856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