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9476d424b5.htm"/>
        <w:bookmarkStart w:id="1" w:name="ksd149476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Statement No. 333-291384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7, 2025) </w:t>
      </w:r>
    </w:p>
    <w:p>
      <w:pPr>
        <w:pStyle w:val="TextBody"/>
        <w:bidi w:val="0"/>
        <w:spacing w:before="240" w:after="0"/>
        <w:jc w:val="center"/>
        <w:rPr>
          <w:rFonts w:ascii="Times New Roman" w:hAnsi="Times New Roman"/>
          <w:b/>
          <w:sz w:val="36"/>
        </w:rPr>
      </w:pPr>
      <w:r>
        <w:rPr>
          <w:rFonts w:ascii="Times New Roman" w:hAnsi="Times New Roman"/>
          <w:b/>
          <w:sz w:val="36"/>
        </w:rPr>
        <w:t xml:space="preserve">Up to $400,000,000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494790" cy="659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4790" cy="659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Guggenheim Securities, LLC (“Guggenheim Securities”), dated May 6, 2022, as amended by that certain Amendment No. 1 to Sales Agreement, dated November 7, 2025 (as amended, the “Sales Agreement”), relating to the sale of shares of our common stock offered by this prospectus supplement and the accompanying prospectus. In accordance with the terms of the Sales Agreement, under this prospectus supplement and the accompanying prospectus, we may offer and sell shares of our common stock, $0.001 par value per share, having an aggregate offering price of up to $400,000,000 from time to time through or to Guggenheim Securities, acting as our agent or principal. </w:t>
      </w:r>
    </w:p>
    <w:p>
      <w:pPr>
        <w:pStyle w:val="TextBody"/>
        <w:bidi w:val="0"/>
        <w:spacing w:before="240" w:after="0"/>
        <w:jc w:val="left"/>
        <w:rPr>
          <w:rFonts w:ascii="Times New Roman" w:hAnsi="Times New Roman"/>
          <w:sz w:val="20"/>
        </w:rPr>
      </w:pPr>
      <w:r>
        <w:rPr>
          <w:rFonts w:ascii="Times New Roman" w:hAnsi="Times New Roman"/>
          <w:sz w:val="20"/>
        </w:rPr>
        <w:t xml:space="preserve">Shares of our common stock are listed on the Nasdaq Global Select Market under the symbol “COGT.” On August 7, 2026, the last reported sale price of our common stock on the Nasdaq Global Select Market was $42.39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and the accompanying prospectus will be made by any method permitted that is deemed an “at the market offering” as defined in Rule 415(a)(4) under the Securities Act of 1933, as amended (the “Securities Act”). Guggenheim Securities is not required to sell any specific amount, but will act as our sales agent using commercially reasonable efforts consistent with its normal trading and sales practices.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will be entitled to compensation at a commission rate of 3.0% of the gross sales price per share sold under the Sales Agreement. See “Plan of Distribution” beginning on page S-12 for additional information regarding the compensation to be paid to Guggenheim Securities. In connection with the sale of shares of our common stock on our behalf, Guggenheim Securities will be deemed to be an “underwriter” within the meaning of the Securities Act and the compensation of Guggenheim Securities will be deemed to be underwriting commissions or discounts. We have also agreed to provide indemnification and contribution to Guggenheim Securities with respect to certain liabilities, including liabilities under the Securities Act or the Securities Exchange Act of 1934, as amended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You should read carefully and consider the risks referenced under “</w:t>
      </w:r>
      <w:hyperlink w:anchor="supptx149476_5">
        <w:r>
          <w:rPr>
            <w:rStyle w:val="InternetLink"/>
            <w:rFonts w:ascii="Times New Roman" w:hAnsi="Times New Roman"/>
            <w:b/>
            <w:sz w:val="24"/>
          </w:rPr>
          <w:t>Risk Factors</w:t>
        </w:r>
      </w:hyperlink>
      <w:r>
        <w:rPr>
          <w:rFonts w:ascii="Times New Roman" w:hAnsi="Times New Roman"/>
          <w:b/>
          <w:sz w:val="24"/>
        </w:rPr>
        <w:t xml:space="preserve">” beginning on page S-8 of this prospectus supplement, as well as the other information contained in or incorporated by reference in this prospectus supplement and the accompanying prospectus before making a decision to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and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August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2">
              <w:r>
                <w:rPr>
                  <w:rStyle w:val="InternetLink"/>
                  <w:rFonts w:ascii="Times New Roman" w:hAnsi="Times New Roman"/>
                  <w:sz w:val="20"/>
                </w:rPr>
                <w:t>CAUTIONARY STATEMENT CONCERNING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9476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4947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registration statement on Form S-3ASR that we have filed with the U.S. Securities and Exchange Commission (the “SEC”) utilizing a “shelf” registration process as a “well-known seasoned issuer,” as defined in Rule 405 under the Securities Act. By using an automatic shelf registration statement, we may sell an unspecified amount of securities from time to time. Under this prospectus supplement, we may offer shares of our common stock having an aggregate offering price of up to $400,000,000 from time to time at prices and on terms to be determined by market conditions at the time of offering. Before buying any of the shares of common stock that we are offering, we urge you to carefully read this prospectus supplement, together with the information incorporated by reference as described under the headings “Where You Can Find More Information” and “Incorporation of Certain Information by Reference” in this prospectus supplement and the accompanying prospectus, and any free writing prospectus that we have authorized for use in connection with this offering. These documents contain important information that you should consider when making your investment decision. In general, when we refer only to the prospectus, we are referring to both the prospectus supplement and the accompanying prospectus combined.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describes the terms of this offering of shares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 —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Guggenheim Securities has not, authorized any other person to provide you with information that is in addition to or different from that contained or incorporated by reference in this prospectus supplement, along with the information contained in any permitted free writing prospectuses we have authorized for use in connection with this offering. Neither we nor Guggenheim Securities takes any responsibility for, or can provide any assurance as to the reliability of, any information other than the information contained or incorporated by reference in this prospectus supplement or any permitted free writing prospectuses we have authorized for use in connection with this offering. You should assume that the information appearing in this prospectus supplement is accurate only as of the date on the front cover of this prospectus supplement.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or accessible through, our website is not part of this prospectus supplement. We and Guggenheim Securities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“Cogent,” “company,” “we,” “us,” and “our” in this prospectus supplement to refer to Cogent Biosciences, Inc. and, where appropriate,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49476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the documents that we incorporate by reference, contains forward-looking statements within the meaning of Section 27A of the Securities Act and Section 21E of the Exchange Act. All statements, other than statements of historical facts contained in this prospectus supplement, including statements regarding our strategy, future operations, future financial position, future revenue, projected costs, prospects, plan,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impacts of raising additional capital, including dilution to our existing stockholders, restrictions on our operations or requirements that we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duration of our product development activities and clinical trials, including the enrollment rates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U.S. Food and Drug Administration’s review and anticipated approval of our three pending new drug applications for our bezuclastinib product candidate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for our bezuclastinib product candidate and any other product candidates we may develop, and any related restrictions, limitations, and/or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identified research priorities to advance our bezuclastinib product candidate or for our teams to discover and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license additional intellectual property rights relating to our bezuclastinib product candidate or future product candidates from third-parties and to comply with our existing or future license agreements and/or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bezuclastinib product candidate and future product candidates in light of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including funding necessary to complete further discovery, development and commercialization of our existing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collaborators with development, regulatory, and commercialization expertise;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our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including pharmaceutical and biological product marketing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adverse business and economic conditions including inflationary pressures, general economic slowdown or a recession, high interest rates, changes in monetary policy, banking institution instability, changes in trade policies, including tariffs or other trade-related actions or the threat of such actions, and the prospect of a shutdown of the U.S. federal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success of competing therapies that are or may be under development in clinical trials or become available commercially;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the conditions, covenants, and obligations applicable to our convertible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use of the proceeds from this offering and any private placements, debt issuance, sales of our preferred stock and other public offerings of our common stock that we may conduct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for our bezuclastinib product candidate and future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should not be construed as exhaustive and should be read in conjunction with the other cautionary statements that are included in this prospectus supplement, the accompanying prospectus, information incorporated by reference herein or therein, and any related free-writing prospectus. The forward-looking statements contained in this prospectus supplement are made as of the date of hereof and we undertake no obligation to publicly update or review any forward-looking statement,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49476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shares of our common stock. For a more complete understanding of our company and this offering, we encourage you to read and consider carefully the more detailed information in this prospectus supplement and the accompanying prospectus, including the information incorporated by reference herein and therein, and the information included in any free writing prospectus that we have authorized for use in connection with this offering, including the information under the heading “Risk Factors” in this prospectus supplement on page S-7 and in the documents incorporated by reference into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precision therapies for genetically defined diseases. Our approach is to design rational precision therapies that treat the underlying cause of disease and improve the lives of patients. Our most advanced program is bezuclastinib, also known as CGT9486, a highly selective tyrosine kinase inhibitor that is designed to potently inhibit the KIT D816V mutation as well as other mutations in KIT exon 17. In the vast majority of cases, KIT D816V is responsible for driving Systemic Mastocytosis (“SM”), a serious and rare disease caused by unchecked proliferation of mast cells. Exon 17 mutations are also found in patients with advanced gastrointestinal stromal tumors (“GIST”), a type of cancer with strong dependence on oncogenic KIT signaling. Bezuclastinib is a highly selective and potent KIT inhibitor with the potential to provide a new treatment option for these patient populations. We are developing bezuclastinib to treat patients living with Non-Advanced Systemic Mastocytosis (“NonAdvSM”), Advanced Systemic Mastocytosis (“AdvSM”) and GIST. In 2025 we reported positive top-line results from registrational trials in each of these indications, and we subsequently filed three New Drug Applications (each, an “NDA”) that are all currently pending review with the U.S. Food and Drug Administration (“FDA”).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submitted our first NDA for bezuclastinib in patients with NonAdvSM in December 2025, which was accepted by the FDA in March 2026 and assigned a Prescription Drug User Fee Act (“PDUFA”) target action date of December 30, 2026. In March 2026, we submitted our second NDA for bezuclastinib in combination with sunitinib for patients with GIST who have received prior treatment with imatinib under the FDA’s Real-Time Oncology Review program, which the FDA accepted with Priority Review and assigned a PDUFA target action date of November 30, 2026. In June 2026, we submitted our third NDA for bezuclastinib in patients with AdvSM.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bezuclastinib represents a significant commercial opportunity across each of these indications. Based on internal analyses and external market research, we estimate a global annual market opportunity of over $4 billion for bezuclastinib in combination with sunitinib as a potential second-line treatment for patients with GIST, approximately $3.5 billion for the treatment of patients with NonAdvSM, and approximately $500 million for the treatment of patients with AdvSM. We are building an internal commercial organization and expect to launch bezuclastinib commercially in the United States in the second half of 2026, pending regulatory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bezuclastinib, we have a growing portfolio of novel targeted therapy candidates. We have an ongoing Phase 1 dose escalation study of our CNS-penetrant, selective mutant ErbB2 inhibitor and a Phase 1 dose escalation study of our potential best-in-class, wild-type-sparing, PI3Kα inhibitor. The Cogent Research Team is also developing additional targeted therapies to help patients fighting serious, genetically driven diseases, including programs targeting mutations in KRAS and JAK2.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March 2014 under the laws of the State of Delaware. We completed our initial public offering in April 2018, and in July 2020 we completed the asset acquisition of Kiq Bio LLC (formerly Kiq LLC) and shifted our development to bezuclastinib, a selective tyrosine kinase inhibitor licensed from Plexxikon, Inc. In October 2020, we changed our name to Cogent Biosciences,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180 Third Avenue, 4th Floor, Waltham, Massachusetts 02451, and our telephone number is (617) 945-5576. Our corporate website address is </w:t>
      </w:r>
      <w:r>
        <w:rPr>
          <w:rFonts w:ascii="Times New Roman" w:hAnsi="Times New Roman"/>
          <w:i/>
          <w:sz w:val="20"/>
          <w:bdr w:val="single" w:sz="8" w:space="1" w:color="000000"/>
        </w:rPr>
        <w:t>www.cogentbio.com</w:t>
      </w:r>
      <w:r>
        <w:rPr>
          <w:rFonts w:ascii="Times New Roman" w:hAnsi="Times New Roman"/>
          <w:sz w:val="20"/>
          <w:bdr w:val="single" w:sz="8" w:space="1" w:color="000000"/>
        </w:rPr>
        <w:t xml:space="preserve">. The information contained on our website is not incorporated by reference into this prospectus supplement or the accompanying prospectus, and you should not consider any information contained on, or that can be accessed through, our website as part of this prospectus supplement or the accompanying prospectus in deciding whether to purchase our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149476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us </w:t>
            </w:r>
          </w:p>
        </w:tc>
        <w:tc>
          <w:tcPr>
            <w:tcW w:w="6326" w:type="dxa"/>
            <w:tcBorders/>
          </w:tcPr>
          <w:p>
            <w:pPr>
              <w:pStyle w:val="TableContents"/>
              <w:bidi w:val="0"/>
              <w:spacing w:before="0" w:after="283"/>
              <w:jc w:val="left"/>
              <w:rPr/>
            </w:pPr>
            <w:r>
              <w:rPr/>
              <w:t xml:space="preserve">Shares of our common stock having an aggregate offering price of up to $400,000,000.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to be outstanding immediately after this offering </w:t>
            </w:r>
          </w:p>
        </w:tc>
        <w:tc>
          <w:tcPr>
            <w:tcW w:w="6327" w:type="dxa"/>
            <w:tcBorders/>
          </w:tcPr>
          <w:p>
            <w:pPr>
              <w:pStyle w:val="TableContents"/>
              <w:bidi w:val="0"/>
              <w:spacing w:before="0" w:after="283"/>
              <w:jc w:val="left"/>
              <w:rPr/>
            </w:pPr>
            <w:r>
              <w:rPr/>
              <w:t xml:space="preserve">Up to 195,404,096 shares, assuming sales of 9,436,187 shares of our common stock in this offering at an assumed offering price of $42.39 per share, which was the last reported sale price of our common stock on the Nasdaq Global Select Market on August 7,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8" w:type="dxa"/>
            <w:tcBorders/>
          </w:tcPr>
          <w:p>
            <w:pPr>
              <w:pStyle w:val="TableContents"/>
              <w:bidi w:val="0"/>
              <w:spacing w:before="0" w:after="283"/>
              <w:jc w:val="left"/>
              <w:rPr/>
            </w:pPr>
            <w:r>
              <w:rPr/>
              <w:t>“</w:t>
            </w:r>
            <w:r>
              <w:rPr/>
              <w:t xml:space="preserve">At the market offering” that may be made from time to time on the Nasdaq Global Select Market or other existing trading market for shares of our common stock through or to, Guggenheim Securities, as agent or principal. See the section entitled “Plan of Distribution” on page S-12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intend to use the net proceeds from this offering for development and regulatory activities relating to bezuclastinib and our other product candidates, the anticipated commercial launch and commercialization of bezuclastinib, as well as for working capital and general corporate purposes. See the section entitled “Use of Proceeds” on page S-9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See “Risk Factors” beginning on page S-7 of this prospectus supplement and the other information included in, or incorporated by reference into, this prospectus supplement for a discussion of certain factors you should carefully consider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30" w:type="dxa"/>
            <w:tcBorders/>
          </w:tcPr>
          <w:p>
            <w:pPr>
              <w:pStyle w:val="TableContents"/>
              <w:bidi w:val="0"/>
              <w:spacing w:before="0" w:after="283"/>
              <w:jc w:val="left"/>
              <w:rPr/>
            </w:pPr>
            <w:r>
              <w:rPr/>
              <w:t xml:space="preserve">COGT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185,967,909 shares of common stock outstanding as of June 30, 2026, after giving effect to the conversion of 39,414 shares of our outstanding Series A Preferred Stock into 9,853,500 shares of common stock and the conversion of 4,516 shares of our outstanding Series B Preferred Stock into 4,516,000 shares of common stock, in each case without regard to the beneficial ownership limitations, but otherwise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27,111,643 shares of our common stock subject to stock options outstanding as of June 30, 2026 with a weighted-average exercise price of $11.08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3,650,000 shares of our common stock subject to outstanding and unvested performance-based restricted stock units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1,282,213 shares of our common stock subject to outstanding and unvested restricted stock units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1,016,303 shares of our common stock reserved for future grant or issuance under the 2020 Inducement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1,999,348 shares of our common stock reserved for future grant or issuance under the 2018 Stock Option and Incentive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254,605 shares of our common stock reserved for future issuance under the 2018 Employee Stock Purchase Plan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5,116,787 shares of our common stock issuable upon conversion of our outstanding convertible senior notes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1,743,528 shares of our common stock issued under the Sales Agreement subsequent to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4947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supplement, including the risk factors and other information contained in or incorporated by reference into this prospectus supplement before investing in any of our securities. Our business, financial condition, results of operations, cash flows or prospects could be materially adversely affected by any of these risks. The risks and uncertainties described in the documents incorporated by reference herein are not the only risks and uncertainties that you may face.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as to the use of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as described in the section entitled “Use of Proceeds.” Our management will retain broad discretion as to the allocation of the proceeds and may spend these proceeds in ways in which you may not agree. The failure of our management to apply these funds effectively could result in unfavorable returns and uncertainty about our prospects, each of which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in the net tangible book value per share of the common stock you purchase. </w:t>
      </w:r>
    </w:p>
    <w:p>
      <w:pPr>
        <w:pStyle w:val="TextBody"/>
        <w:bidi w:val="0"/>
        <w:spacing w:before="120" w:after="0"/>
        <w:jc w:val="left"/>
        <w:rPr>
          <w:rFonts w:ascii="Times New Roman" w:hAnsi="Times New Roman"/>
          <w:sz w:val="20"/>
        </w:rPr>
      </w:pPr>
      <w:r>
        <w:rPr>
          <w:rFonts w:ascii="Times New Roman" w:hAnsi="Times New Roman"/>
          <w:sz w:val="20"/>
        </w:rPr>
        <w:t xml:space="preserve">Some or all of the public offering price per share in this offering may exceed the as-adjusted net tangible book value per share of our outstanding common stock. After giving effect to an assumed sale of shares of common stock in the aggregate amount of $400,000,000 at an assumed public offering price of $42.39 per share, which was the last reported sale price per share of our common stock on the Nasdaq Global Select Market on August 7, 2026, and after deducting the commissions and estimated offering expenses payable by us, you would incur immediate and substantial dilution in the amount of $37.68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dilution is due to the substantially lower price paid by our investors who purchased shares prior to this offering as compared to the assumed price offered to the public in this offering, and any previous exercise of stock options and vesting of restricted stock units granted to our employees, directors and consultants. In addition, the exercise of any outstanding options to purchase shares of our common stock, the vesting of performance-based restricted stock units, the vesting of time-based restricted stock units, and issuances of common stock in connection with the 2020 Inducement Plan, the 2018 Stock Option and Incentive Plan, and the 2018 Employee Stock Purchase Plan would result in additional dilution. As a result of the dilution to investors purchasing shares in this offering, investors may receive significantly less than the purchase price paid in this offering, if anything, in the event of our liquidation. See “Dilution”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of common stock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Guggenheim Securities at any time throughout the term of the Sales Agreement. The number of shares of common stock that are sold by Guggenheim Securities after delivering a placement notice will fluctuate based on the market price of the shares of common stock during the sales period and limits we set with Guggenheim Securities. Because the price per share of each share sold will fluctuate based on the market price of shares of our common stock during the sales period, it is not possible at this stage to predict the number of shares of common stock that will be ultimately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shares of common stock offered hereby will be sold in “at the market offerings,” and investors who buy common stock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common stock in this offering at different times will likely pay different prices, and so may experience different outcomes in their investment results. We will have discretion, subject to market demand, to vary the timing, prices, and numbers of shares of common stock sold, and there is no minimum or maximum sales price. Investors may experience a decline in the value of their shares of common stock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expect to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4947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if any, from the sale of shares of our common stock offered hereby. We may issue and sell shares of our common stock having aggregate sales proceeds of up to $400,000,000 from time to time. Because there is no minimum offering amount required to be sold in connection with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by us of the shares of common stock to which this prospectus supplement relates for development and regulatory activities relating to bezuclastinib and our other product candidates, the anticipated commercial launch and commercialization of bezuclastinib, as well as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we may invest the proceeds in interest-bearing, investment-grade securities, certificates of deposit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49476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Dilution represents the difference between the amount per share of common stock paid by purchasers of shares of common stock in this offering and the as-adjusted net tangible book value per share of our common stock immediately after this offering. The data in this section are derived from our balance sheet as of June 30, 2026. Net tangible book value per share of common stock is equal to our total tangible assets less the amount of our total liabilities, divided by the sum of the number of shares of common stock outstanding as of June 30, 2026, excluding shares of common stock underlying outstanding options. Our net tangible book value as of June 30, 2026 was $532.4 million, or $3.10 per share of common stock. For purposes of this “Dilution” section, except as otherwise noted, all subsequent share and per share information assumes the conversion of 39,414 shares of our outstanding Series A Preferred Stock into 9,853,500 shares of common stock and the conversion of 4,516 shares of our outstanding Series B Preferred Stock into 4,516,000 shares of common stock, in each case without regard to the beneficial ownership limitations (collectively, the “Conversion”) (for more information, see “Description of Capital Stock” in the accompanying prospectus). Assuming such Conversion, our pro forma net tangible book value as of June 30, 2026 was $532.4 million, or $2.86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present dilution on a pro forma as-adjusted basis to give effect to (i) the assumed conversion of all outstanding shares of our Series A Preferred Stock and Series B Preferred Stock as described above and (ii) our receipt of the estimated net proceeds from the sale of shares of our common stock in this offering, based on the assumed public offering price of $42.39 per share of common stock, the last reported sale price of our common stock on the Nasdaq Global Select Market on August 7, 2026, and after deducting the underwriting discounts and commissions and estimated offering expenses payable by us. On a pro forma as-adjusted basis, our as-adjusted net tangible book value as of June 30, 2026 would have been $920.2 million, or $4.71 per share of common stock. This represents an immediate increase in pro forma as-adjusted net tangible book value to existing stockholders of $1.85 per share of common stock and immediate dilution in pro forma as-adjusted net tangible book value to purchasers of shares of common stock in this offering of $37.68 per share of common stock. The following table illustrates this dilution per share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63"/>
        <w:gridCol w:w="383"/>
        <w:gridCol w:w="143"/>
        <w:gridCol w:w="442"/>
        <w:gridCol w:w="60"/>
        <w:gridCol w:w="383"/>
        <w:gridCol w:w="143"/>
        <w:gridCol w:w="574"/>
        <w:gridCol w:w="64"/>
      </w:tblGrid>
      <w:tr>
        <w:trPr/>
        <w:tc>
          <w:tcPr>
            <w:tcW w:w="5563"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 of common stock</w:t>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42.39</w:t>
            </w:r>
          </w:p>
        </w:tc>
        <w:tc>
          <w:tcPr>
            <w:tcW w:w="64"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of common stock as of June 30, 2026 (excluding the assumed Conversion)</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3.10</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June 30, 2026, after giving effect to the Conversion</w:t>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of common stock attributable to purchasers of shares of common stock in this offering</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6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as-adjusted net tangible book value per share of common stock immediately after this offering</w:t>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4.71</w:t>
            </w:r>
          </w:p>
        </w:tc>
        <w:tc>
          <w:tcPr>
            <w:tcW w:w="64"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Dilution per share of common stock to purchasers of shares of common stock in this offering</w:t>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37.68</w:t>
            </w:r>
          </w:p>
        </w:tc>
        <w:tc>
          <w:tcPr>
            <w:tcW w:w="64"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9,436,187 shares of our common stock are sold at a price of $42.39 per share, the last reported sale price of our common stock on the Nasdaq Global Select Market on August 7, 2026. The shares of common stock sold in this offering, if any, will be sold from time to time at various prices. An increase of $1.00 per share in the assumed price at which the shares of common stock are sold would increase the dilution in pro forma net tangible book value per share to purchasers of shares of common stock in this offering to $38.68 per share, after deducting the commissions and estimated offering expenses payable by us. A decrease of $1.00 per share in the assumed price at which the shares of common stock are sold would decrease the dilution in pro forma net tangible book value per share to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of common stock in this offering to $36.68 per share, after deducting the commissions and estimated offering expenses payable by us. This information is supplied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27,111,643 shares of our common stock subject to stock options outstanding as of June 30, 2026 with a weighted-average exercise price of $11.08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3,650,000 shares of our common stock subject to outstanding and unvested performance-based restricted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1,282,213 shares of our common stock subject to outstanding and unvested restricted stock units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1,016,303 shares of our common stock reserved for future grant or issuance under the 2020 Inducement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1,999,348 shares of our common stock reserved for future grant or issuance under the 2018 Stock Option and Incentive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254,605 shares of our common stock reserved for future issuance under the 2018 Employee Stock Purchase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5,116,787 shares of our common stock issuable upon conversion of our outstanding convertible senior notes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1,743,528 shares of our common stock issued under the Sales Agreement subsequent to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we may choose to raise additional capital through the sale of equity or convertible debt securities due to market conditions or strategic considerations even if we believe we have sufficient funds for our current or future operating plans. New investors may experience further dilution if any of our outstanding options are exercised, new options are issued and exercised under our equity incentive plans or we issue additional shares of common stock, other equity securities or convertible debt securities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49476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Guggenheim Securities under which we may issue and sell shares of common stock from time to time through or to Guggenheim Securities as our sales agent or principal. Sales of shares of common stock, if any, under this prospectus supplement will be by any method that is deemed to be an “at the market offering,” as defined in Rule 415 under the Securities Act. If authorized by us in writing, Guggenheim Securities may purchase shares of our common stock as principal.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will offer shares of our common stock subject to the terms and conditions of the Sales Agreement on a daily basis or as otherwise agreed upon by us and Guggenheim Securities. We will designate the maximum amount of common stock to be sold through Guggenheim Securities on a daily basis or otherwise determine such maximum amount together with Guggenheim Securities. Subject to the terms and conditions of the Sales Agreement, Guggenheim Securities will use its commercially reasonable efforts consistent with its normal trading and sales practices to sell on our behalf all of the shares of common stock requested to be sold by us. We may instruct Guggenheim Securities not to sell shares of common stock if the sales cannot be effected at or above the price designated by us in any such instruction. Guggenheim Securities or we may suspend the offering of shares of our common stock being made through Guggenheim Securities under the Sales Agreement upon proper notice to the other party. Guggenheim Securities and we each have the right, by giving written notice as specified in the Sales Agreement, to terminate the Sales Agreement in each party’s sole discretion at any time. The offering of shares of our common stock pursuant to the Sales Agreement will otherwise terminate upon the termination of the Sales Agreement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Guggenheim Securities as sales agent will be an amount equal to 3.0% of the gross proceeds of any shares sold through it pursuant to the Sales Agreement. Under the Sales Agreement, we previously reimbursed Guggenheim Securities for up to $50,000 of Guggenheim Securities’ actual outside legal expenses incurred in connection with executing the original Sales Agreement and have also agreed to reimburse Guggenheim Securities for certain ongoing expenses incurred in connection with Guggenheim Securities’ ongoing diligence arising from the transactions contemplated by the Sales Agreement. We estimate that the total expenses of the offering payable by us, excluding commissions payable to Guggenheim Securities under the Sales Agreement, will be approximately $150,000.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will provide written confirmation to us following the close of trading on the Nasdaq Global Select Market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shares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We will report at least quarterly the number of shares of common stock sold through Guggenheim Securities under the Sales Agreement, the net proceeds to us and the compensation paid by us to Guggenheim Securities in connection with the sales of shares of common stock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shares of common stock on our behalf, Guggenheim Securities will be deemed to be an “underwriter” within the meaning of the Securities Act, and the compensation paid to Guggenheim Securities will be deemed to be underwriting commissions or discounts. We have agreed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Agreement to provide indemnification and contribution to Guggenheim Securities against certain liabilities, including liabilities under the Securities Act. As sales agent, Guggenheim Securities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Global Select Market under the symbol “COGT.” Computershare Trust Company, N.A. serves as the transfer agent and registrar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4947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this prospectus supplement, the validity of the shares of common stock being offered hereby will be passed upon for us by Gibson, Dunn &amp; Crutcher LLP, San Francisco, California. Certain legal matters will be passed upon for Guggenheim Securities by Mintz, Levin, Cohn, Ferris, Glovsky and Popeo, P.C., Boston, Massachusetts. </w:t>
      </w:r>
    </w:p>
    <w:p>
      <w:pPr>
        <w:pStyle w:val="TextBody"/>
        <w:bidi w:val="0"/>
        <w:spacing w:before="480" w:after="0"/>
        <w:jc w:val="center"/>
        <w:rPr>
          <w:rFonts w:ascii="Times New Roman" w:hAnsi="Times New Roman"/>
          <w:b/>
          <w:sz w:val="20"/>
        </w:rPr>
      </w:pPr>
      <w:bookmarkStart w:id="12" w:name="supptx14947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4947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and we have filed with the SEC a registration statement on Form S-3 under the Securities Act with respect to the shares of common stock offered by this prospectus supplement. This prospectus supplement, which forms part of the registration statement, does not contain all of the information included in the registration statement, including its exhibits and schedules. For further information about us and the securities described in this prospectus supplement, you should refer to the registration statement, its exhibits and schedules and our reports, proxies, information statements and other information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filings are available to the public on the Internet, through a database maintained by the SEC at </w:t>
      </w:r>
      <w:r>
        <w:rPr>
          <w:rFonts w:ascii="Times New Roman" w:hAnsi="Times New Roman"/>
          <w:i/>
          <w:sz w:val="20"/>
        </w:rPr>
        <w:t>http://www.sec.gov</w:t>
      </w:r>
      <w:r>
        <w:rPr>
          <w:rFonts w:ascii="Times New Roman" w:hAnsi="Times New Roman"/>
          <w:sz w:val="20"/>
        </w:rPr>
        <w:t xml:space="preserve">. We also maintain a website at </w:t>
      </w:r>
      <w:r>
        <w:rPr>
          <w:rFonts w:ascii="Times New Roman" w:hAnsi="Times New Roman"/>
          <w:i/>
          <w:sz w:val="20"/>
        </w:rPr>
        <w:t>www.cogentbio.com</w:t>
      </w:r>
      <w:r>
        <w:rPr>
          <w:rFonts w:ascii="Times New Roman" w:hAnsi="Times New Roman"/>
          <w:sz w:val="20"/>
        </w:rPr>
        <w:t xml:space="preserve">. We have included our website address for the information of prospective investors and do not intend it to be an active link to our website. Information contained on our website does not constitute a part of this prospectus supplement (or any document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49476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not deemed to be filed) following the filing of this prospectus supplement until the offering of the shares of common stock under this prospectus supplement is terminated or completed, except that we are not incorporating by reference any information furnished (and not filed) with the SEC, including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17, 2026, including the Part III information incorporated by reference from our </w:t>
            </w:r>
            <w:hyperlink r:id="rId4">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5, 2026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(other than information furnished rather than filed) filed with the SEC on </w:t>
            </w:r>
            <w:hyperlink r:id="rId7">
              <w:r>
                <w:rPr>
                  <w:rStyle w:val="InternetLink"/>
                  <w:rFonts w:ascii="Times New Roman" w:hAnsi="Times New Roman"/>
                  <w:sz w:val="20"/>
                </w:rPr>
                <w:t>June 11,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8">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2025, as filed with the SEC on February 17, 2026,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contacting us, either orally or in writing, at the following: </w:t>
      </w:r>
    </w:p>
    <w:p>
      <w:pPr>
        <w:pStyle w:val="TextBody"/>
        <w:bidi w:val="0"/>
        <w:spacing w:before="120" w:after="0"/>
        <w:jc w:val="center"/>
        <w:rPr>
          <w:rFonts w:ascii="Times New Roman" w:hAnsi="Times New Roman"/>
          <w:sz w:val="20"/>
        </w:rPr>
      </w:pPr>
      <w:r>
        <w:rPr>
          <w:rFonts w:ascii="Times New Roman" w:hAnsi="Times New Roman"/>
          <w:sz w:val="20"/>
        </w:rPr>
        <w:t xml:space="preserve">Cogent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180 Third Avenue, 4th Floor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(617) 945-5576 </w:t>
      </w:r>
    </w:p>
    <w:p>
      <w:pPr>
        <w:pStyle w:val="TextBody"/>
        <w:bidi w:val="0"/>
        <w:spacing w:before="0" w:after="0"/>
        <w:jc w:val="center"/>
        <w:rPr>
          <w:rFonts w:ascii="Times New Roman" w:hAnsi="Times New Roman"/>
          <w:sz w:val="20"/>
        </w:rPr>
      </w:pPr>
      <w:r>
        <w:rPr>
          <w:rFonts w:ascii="Times New Roman" w:hAnsi="Times New Roman"/>
          <w:sz w:val="20"/>
        </w:rPr>
        <w:t xml:space="preserve">info@cogentbio.com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t>
      </w:r>
      <w:r>
        <w:rPr>
          <w:rFonts w:ascii="Times New Roman" w:hAnsi="Times New Roman"/>
          <w:i/>
          <w:sz w:val="20"/>
        </w:rPr>
        <w:t>www.cogentbio.com</w:t>
      </w:r>
      <w:r>
        <w:rPr>
          <w:rFonts w:ascii="Times New Roman" w:hAnsi="Times New Roman"/>
          <w:sz w:val="20"/>
        </w:rPr>
        <w:t xml:space="preserve">.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any materials we file with the SEC at the SEC’s website mentioned under the heading “Where You Can Find More Information.” The information on the SEC’s website is not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9360" cy="10788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499360" cy="10788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issue, in one or more series or classes, an indeterminate number of shares of our common stock, preferred stock, debt securities, warrants and/or units, at prices and on terms that we will determine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applicable prospectus supplement and any related free writing prospectus carefully, as well as any documents incorporated by reference, before you invest in any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Our shares of common stock are listed on the Nasdaq Global Select Market under the symbol “COGT”. The last reported sale price of our common stock on the Nasdaq Global Select Market on November 6, 2025 was $14.72 per share. We recommend that you obtain current market quotations for our common stock prior to making an investment decision.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described under the heading</w:t>
      </w:r>
      <w:r>
        <w:rPr>
          <w:rFonts w:ascii="Times New Roman" w:hAnsi="Times New Roman"/>
          <w:sz w:val="24"/>
        </w:rPr>
        <w:t xml:space="preserve"> “</w:t>
      </w:r>
      <w:hyperlink w:anchor="toc149476_4">
        <w:r>
          <w:rPr>
            <w:rStyle w:val="InternetLink"/>
            <w:rFonts w:ascii="Times New Roman" w:hAnsi="Times New Roman"/>
            <w:b/>
            <w:sz w:val="24"/>
          </w:rPr>
          <w:t>Risk Factors</w:t>
        </w:r>
      </w:hyperlink>
      <w:r>
        <w:rPr>
          <w:rFonts w:ascii="Times New Roman" w:hAnsi="Times New Roman"/>
          <w:sz w:val="24"/>
        </w:rPr>
        <w:t xml:space="preserve">” </w:t>
      </w:r>
      <w:r>
        <w:rPr>
          <w:rFonts w:ascii="Times New Roman" w:hAnsi="Times New Roman"/>
          <w:b/>
          <w:sz w:val="24"/>
        </w:rPr>
        <w:t xml:space="preserve">contained in this prospectus beginning on page 5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November 7,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2">
              <w:r>
                <w:rPr>
                  <w:rStyle w:val="InternetLink"/>
                  <w:rFonts w:ascii="Times New Roman" w:hAnsi="Times New Roman"/>
                  <w:sz w:val="20"/>
                </w:rPr>
                <w:t>CAUTIONARY STATEMENT CONCERNING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6">
              <w:r>
                <w:rPr>
                  <w:rStyle w:val="InternetLink"/>
                  <w:rFonts w:ascii="Times New Roman" w:hAnsi="Times New Roman"/>
                  <w:sz w:val="20"/>
                </w:rPr>
                <w:t>SECURITIES WE MAY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0">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49476_15">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49476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S-3ASR that we filed with the Securities and Exchange Commission (the “SEC” or the “Commission”), as a “well-known seasoned issuer” as defined in Rule 405 under the Securities Act of 1933, as amended (the “Securities Act”) utilizing a “shelf” registration process. Under this shelf registration process, we may sell any combination of the securities described in this prospectus from time to time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“Cogent,” “Company,” “we,” “us,” and “our” in this prospectus to refer to Cogent Biosciences, Inc. and, where appropriate,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49476_2"/>
      <w:bookmarkEnd w:id="17"/>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contains forward-looking statements within the meaning of Section 27A of the Securities Act and Section 21E of the Securities and Exchange Act of 1934, as amended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“should,” “expects,” “might,” “plans,” “anticipates,” “could,” “intends,” “target,”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impacts of raising additional capital, including dilution to our existing stockholders, restrictions on our operations or requirements that we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duration of our product development activities and clinical trials, including the enrollment rates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our planned regulatory submissions to the U.S. Food and Drug Administration for our bezuclastinib product candidate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for our bezuclastinib product candidate and any other product candidates we may develop, and any related restrictions, limitations, and/or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identified research priorities to advance our bezuclastinib product candidate or for our teams to discover and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license additional intellectual property rights relating to our bezuclastinib product candidate or future product candidates from third parties and to comply with our existing or future license agreements and/or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our bezuclastinib product candidate and future product candidates in light of the intellectual property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including funding necessary to complete further discovery, development and commercialization of our existing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our product candidates and any other approved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including pharmaceutical and biological product marketing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adverse business and economic conditions including inflationary pressures, general economic slowdown or a recession, high interest rates, changes in monetary policy, banking institution instability, changes in trade policies, including tariffs or other trade restrictions or the threat of such actions, and the prospect of a, or any then ongoing, shutdown of the U.S. federal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success of competing therapies that are or may be under development in clinical trials or become available commercially;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the proceeds from our private placements, sales of our preferred stock and other public offerings of our common stock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interim clinical data may not be indicative of future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for our bezuclastinib product candidate and future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should not be construed as exhaustive and should be read in conjunction with the other cautionary statements that are included in this prospectus, any accompanying prospectus supplement, information incorporated by reference herein or therein, and any related free-writing prospectus. The forward-looking statements contained in this prospectus are made as of the date of hereof and we undertake no obligation to publicly update or review any forward-looking statement,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149476_3"/>
      <w:bookmarkEnd w:id="18"/>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developing precision therapies for genetically defined diseases. Our approach is to design rational precision therapies that treat the underlying cause of disease and improve the lives of patients. Our most advanced program is bezuclastinib, also known as CGT9486, a highly selective tyrosine kinase inhibitor that is designed to potently inhibit the KIT D816V mutation as well as other mutations in KIT exon 17. In the vast majority of cases, KIT D816V is responsible for driving Systemic Mastocytosis (“SM”), a serious and rare disease caused by unchecked proliferation of mast cells. Exon 17 mutations are also found in patients with advanced gastrointestinal stromal tumors (“GIST”), a type of cancer with strong dependence on oncogenic KIT signaling. Bezuclastinib is a highly selective and potent KIT inhibitor with the potential to provide a new treatment option for these patient populations. We are developing bezuclastinib to treat patients living with Non-Advanced Systemic Mastocytosis (“Non-AdvSM”), Advanced Systemic Mastocytosis (“AdvSM”) and GIST. We also have an ongoing Phase 1 study of our novel internally developed FGFR2 inhibitor. In addition to bezuclastinib, the Cogent Research Team is developing a portfolio of novel targeted therapies to help patients fighting serious, genetically driven diseases initially targeting mutations in ErbB2, PI3K, KRAS, and JAK2.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business, please see our most recent Annual Report on Form 10-K, as supplemented and updated by subsequent Quarterly Reports on Form 10-Q and Current Reports on Form 8-K that we have filed or will file with the SEC, and in other documents which are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March 2014 under the laws of the State of Delaware. We completed our initial public offering in April 2018, and in July 2020 we completed the asset acquisition of Kiq Bio LLC (formerly Kiq LLC) and shifted our development to bezuclastinib, a selective tyrosine kinase inhibitor licensed from Plexxikon, Inc. In October 2020, we changed our name to Cogent Biosciences,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275 Wyman Street, 3rd Floor, Waltham, Massachusetts 02451, and our telephone number is (617) 945-5576. Our corporate website address is </w:t>
      </w:r>
      <w:r>
        <w:rPr>
          <w:rFonts w:ascii="Times New Roman" w:hAnsi="Times New Roman"/>
          <w:i/>
          <w:sz w:val="20"/>
          <w:bdr w:val="single" w:sz="8" w:space="1" w:color="000000"/>
        </w:rPr>
        <w:t>www.cogentbio.com</w:t>
      </w:r>
      <w:r>
        <w:rPr>
          <w:rFonts w:ascii="Times New Roman" w:hAnsi="Times New Roman"/>
          <w:sz w:val="20"/>
          <w:bdr w:val="single" w:sz="8" w:space="1" w:color="000000"/>
        </w:rPr>
        <w:t xml:space="preserve">. The information contained on our website is not incorporated by reference into this prospectus or any accompanying prospectus supplement, and you should not consider any information contained on, or that can be accessed through, our website as part of this prospectus or any accompanying prospectus supplement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49476_4"/>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our SEC filings, please see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49476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for development and regulatory activities relating to bezuclastinib and other product candidates, the anticipated commercial launch and commercialization of bezuclastinib, as well as for working capital and general corporate purposes. Our expected use of proceeds from the sale of the securities offered hereby represents our current intentions based on our present plans and business condition. As of the date of this prospectus, we cannot predict with certainty all of the particular uses for the proceeds to be received from the sale of the securities offered hereby or the amounts that we will actually spend on the uses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we may invest the proceeds in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49476_6"/>
      <w:bookmarkEnd w:id="21"/>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49476_7"/>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terms of our capital stock, as well as other material terms of certain provisions of Delaware law, our fourth amended and restated certificate of incorporation (as amended from time to time, our “certificate of incorporation”), and our amended and restated bylaws (“bylaws”), both of which are filed as exhibits to our most recent Annual Report on Form 10-K, filed with the SEC, and are incorporated by reference herein. This summary does not purport to be complete and is qualified in its entirety by the provisions of our certificate of incorporation and bylaws. For more information on how you can obtain our certificate of incorporation and bylaws, see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300,000,000 shares of common stock, par value $0.001 per share, and 10,000,000 shares of preferred stock, par value $0.001 per share, 1,000,000 of which are designated as Series A Non-Voting Convertible Preferred Stock (“Series A Preferred Stock”), 20,580 of which are designated as Series B Non-Voting Convertible Preferred Stock (the “Series B Preferred Stock”) and 8,979,420 of which shares of preferred stock are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All outstanding shares of common stock are validly issued, fully paid and nonassessable, and any issued shares of common stock will be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A Preferred Stock are entitled to receive dividends on shares of Series A Preferred Stock equal to, on an as-if-converted-to-common-stock basis, and in the same form as dividends actually paid on shares of the common stock. Except as otherwise required by law,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certificate of designations of Series A Preferred Stock (“Series A Certificate of Designations”), (c) amend its certificate of incorporation or other charter documents in any manner that adversely affects any rights of the holders of Series A Preferred Stock, (d) increase the number of authorized shares of Series A Preferred Stock, (e) prior to the stockholder approval of the conversion of the Series A Preferred Stock into shares of common stock (which stockholder approval has been received) or at any time while at least 40% of the originally issued Series A Preferred Stock remains issued and outstanding, consummate a Fundamental Transaction (as defined in the Certificate of Designation) or (f) enter into any agreement with respect to any of the foregoing. The Series A Preferred Stock does not have a preference upon any liquidation, dissolution or winding-up of the Company, and are not be redeemable.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A Preferred Stock is convertible into shares of common stock at any time at the option of the holder thereof, into 250 shares of common stock, subject to certain limitations, including that a holder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A Preferred Stock is prohibited from converting shares of Series A Preferred Stock into shares of common stock if, as a result of such conversion, such holder, together with its affiliates, would beneficially own more than a specified percentage (as established by the holder between 4.9% and 19.9%) of the total number of shares of common stock issued and outstanding immediately after giving effect to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95,911 shares of Series A Preferred Stock have been converted to common stock and 67,414 shares of Series A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Series B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 However, as long as any shares of Series B Preferred Stock are outstanding, we will not, without the affirmative vote of each of the holders of the then outstanding shares of the Series B Preferred Stock, (a) alter or change adversely the powers, preferences or rights given to the Series B Preferred Stock, (b) alter or amend the certificate of designations of Series B Preferred Stock (“Series B Certificate of Designations”), or (c) amend its certificate of incorporation or other charter documents in any manner that adversely affects any rights of the holders of Series B Preferred Stock . The Series B Preferred Stock does not have a preference upon any liquidation, dissolution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B Preferred Stock is convertible into 1,000 shares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13,712 shares of Series B Preferred Stock have been converted to common stock and 6,868 shares of Series B Preferred Stock were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8,979,420 additional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the Company or other corporate action. Other than the outstanding Series A Preferred Stock and Series B Preferred Stock, no shares of preferred stock are outstanding, and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Delaware General Corporation Law and of our certificate of incorporation and by laws could have the effect of delaying, deferring or discouraging another party from acquiring control of us. These provisions, which are summarized below, are expected to discourage certain types of coercive takeover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issue up to an additional 8,979,420 shares of preferred stock, with any rights, preferences and privileges as they may designate;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authorized number of directors may be changed only by resolution adopted by a majority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board of directors or any individual director may only be removed with cause and the affirmative vote of the holders of at least 66.67%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 our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provide for cumulative voting rights (therefore allowing the holders of a majority of the shares of common stock entitled to vote in any election of directors to elect all of the directors standing for election, if they should so choose);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be called only by the chairperson of the board, our chief executive officer, or by the board of directors pursuant to a resolution adopted by a majority of the total number of authorized directors (whether or not there exists any vacancies);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Court of Chancery of the State of Delaware will be the sole and exclusive forum for (i) any derivative action or proceeding brought on our behalf, (ii) any action asserting a claim of breach of a fiduciary duty owed by any of our directors or officers to us or our stockholders, (iii) any action asserting a claim against the us arising pursuant to any provision of the DGCL or our certificate of incorporation or bylaws, or (iv) any action asserting a claim against us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amendment of any of these provisions, with the exception of the ability of our board of directors to issue shares of preferred stock and designate any rights, preferences, and privileges thereto, would require the affirmative vote of the holders of at least 66.67% of the voting power of all of our then outstanding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serves as the transfer agent and registrar for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49476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under an indenture to be entered into between us and a trustee chosen by us, qualified to act as such under the Trust Indenture Act of 1939, as amended (the “Trust Indenture Act”) and appointed under the indenture. The indenture will consist of a base indenture (the “base indenture”) as supplemented by a supplemental indenture or authorizing resolution setting forth the specific terms of any debt securities we may issue. References below to an “indenture” are references to the base indenture, as supplemented, under which a particular series of debt securities is issued. The indenture will be governed by the Trust Indenture Act unless otherwise specified in the applicable prospectus supplement. We will set forth the terms of any such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base indenture. It does not restate the base indenture entirely. We urge you to read the indenture. We have filed the form of base indenture as an exhibit to the registration statement of which this prospectus is a part, and we will file the base indenture we enter into and the supplemental indentures or authorizing resolutions with respect to particular series of debt securities as exhibits to current or other reports we file with the SEC. See “Where You Can Find More Information” for information on how to obtain copies of the base indenture and the supplemental indentures or authorizing resolutions. You may also inspect copies of the documents for the particular series at the office of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debt securities will be general obligations of Cogent Biosciences, Inc. We may issue them in one or more series. Supplemental indentures or authorizing resolutions will set forth the specific terms of each series of debt securities. We will provide a prospectus supplement for each series of debt securities that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(or any limit on the aggregate principal amount) of the series and, if any securities of a series are to be issued at a discount from their face amount, or with a premium, the method of computing the accretion of such discount or computing such premium;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method of calculation of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payable on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when, places where and manner in which principal and interest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more than one trustee or a trustee other than the trustee under the base indenture, the identity of the trustee and, if not the trustee, the identity of each registrar, paying agent or authenticating agent with respect to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mandatory (including any sinking fund requirements) or optional redemption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redemption at the option of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permissible denominations in which securities of such series are issuable, if different from minimum denominations of $2,000 and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be issued in registered or bearer form and the terms of any such forms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shall be issued in whole or in part in the form of a global security or securities, the terms and conditions, if different from those contained in the base indenture, upon which such global security or securities may be exchanged in whole or in part for definitive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for such global security or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any legend or legends, if any, to be borne by any such global security or securities in addition to or in lieu of the legends referred to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any composite currency) in which principal or interest or both may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the indenture to provide for or to facilitate the issuance of securities denominated or payable, at the election of the company or a holder thereof or otherwise, in a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or any interest on, such securities may be determined with reference to an index, formula, financial or economic measure or other method or methods (which index, formula, measure or method or methods may be based, without limitation, on one or more currencies, commodities, equity indices or other indices) and if so, the terms and conditions upon which and the manner in which such amounts shall be determined and paid or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electronic issuance of securities or issuance of securities of such series in uncertificated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covenants, defined terms and/or other terms in addition to or in lieu of those set forth in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securities of such series may be defeased or discharged if different from the provisions set forth in the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that may be required by or advisable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of the securities of such series which is payable if the maturity of the securities of such series is accelerated in the case of securities issued at a discount from their face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securities of such series will or will not have the benefit of guarantees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such series are senior or subordinated debt securities, and if subordinated debt securities,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convertible into or exchangeable for other securities, common stock, other securities, cash or property of any kind of the company or another person or persons,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in addition to or different from those contained in the base indenture applicable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described in the applicable prospectus supplement, an event of default with respect to any series of debt securities will be defined in the indenture as being: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interest on any debt security of such series when the same becomes due and payable and the continuance of any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pay the principal or premium of any debt security of such series when the same becomes due and payable at maturity, upon acceleration,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any of our agreements or covenants in, or provisions of, the debt securities of such series or the indenture (as they relate thereto) and such failure continues for a period of 90 days after our receipt of notice of the default from the trustee or from the holders of at least 25 percent in aggregate principal amount of the then outstanding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occur with respect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indenture will provide that the trustee shall be protected in withholding notice to the holders of any series of debt securities of any default, except a default in payment of principal or interest, if any, with respect to such series of debt securities, if the trustee determines that it is in the interest of the holders of such series of debt securities to do so.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 will provide that if any event of default has occurred and is continuing with respect to any series of debt securities (other than an event of default resulting from certain events of bankruptcy, insolvency or reorganization), the trustee or the holders of not less than 25% in principal amount of such series of debt securities then outstanding (with a copy to the trustee if given by the holders) may declare all the debt securities of such series to be due and payable immediately. If an event of default resulting from certain events of bankruptcy, insolvency or reorganization occur, all amounts due and payable on the debt securities of such series will become and be immediately due and payable without any declaration, notice or other act on the part of the trustee, us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debt securities of such series then outstanding by notice to the trustee may waive any existing default and its consequences with respect to such series of debt securities, other than a default in respect of a covenant or a provision of the indenture that cannot be modified or amended without the consent of all holders of the applicable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of debt securities has been made, the holders of a majority in principal amount of the outstanding debt securities of that series, by written notice to the us and the trustee, may rescind and annul such declaration and its consequences, if the rescission would not conflict with any judgment or decree and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deposited with the trustee a sum sufficient to pay all overdue interest on all debt securities of that series, the principal of (and premium, if any, on) any debt securities of that series which have become due otherwise than by such declaration of acceleration and any interest thereon at the rate or rates prescribed therefor in such debt securities, to the extent that payment of such interest is lawful, interest upon overdue interest at the rate or rates prescribed therefor in such debt securities, and all sums paid or advanced by the trustee and the reasonable compensation, expenses, disbursements and advances of the trustee, its agents and counsel;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with respect to the debt securities of that series, other than the non-payment of the principal and interest, if any, of the debt securities of that series which have become due solely by such declaration of acceleration,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described in the applicable prospectus supplement, the indenture will permit us to terminate all our obligations under the indenture as they relate to any particular series of debt securities (“legal defeasance”), other than the right of the holders of the debt securities of such series to receive payments solely from the trust fund described below in respect of the principal and interest on such debt securities and certain other obligations,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government obligations or a combination thereof in an amount sufficient to pay principal of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the indenture will also permit us to terminate all of our obligations under covenants in the indenture as they relate to any particular series of debt securities, and the debt securities of such series shall thereafter be deemed to be not “outstanding” for the purpose of any direction, waiver, consent or declaration or act of holders of such series in connection with such covenants (“covenant defeasance”), at any time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in trust with the trustee, under an irrevocable trust agreement, money or government obligations in an amount sufficient to pay principal and interest, if any, on the debt securities of such series to their maturity 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other conditions, including delivery to the trustee of an opinion of counsel to the effect that holders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a series of debt securities when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such series, other than any securities that have been destroyed, lost, or stolen and that have been replaced or paid as provided in the indenture,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such series that have not been delivered to the trustee for cancellation have become due and payable or will become due and payable at maturity within one year or are to be called for redemption within one year under arrangements satisfactory to the trustee for the giving of notice of redemption, and we shall have irrevocably deposited with the trustee as trust funds the entire amount, in money or governmental obligations, or a combination thereof, sufficient, in the opinion of a nationally recognized firm of independent public accountants, to pay at maturity or upon redemption of all securities of such series, including principal of and any premium and interest due or to become due to such date of maturity or date fixed for redemption,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we will also pay all other sums payable by us under the indenture with respect to the securities of such series, deliver irrevocable instructions to the trustee to apply the deposited money toward the payment of the debt securities of such series at maturity or redemption, as the case may be, and deliver to the trustee an opinion of counsel and an officers’ certificate, each stating that all conditions precedent to satisfaction and discharge with respect to the securities of such series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Without notice to or the consent of any holder, we and the trustee may amend or supplement the indenture or the debt securities of a series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to correct or supplement any provision of the indenture which may be defective or inconsistent with any other provision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provisions of the indenture regarding the consolidation, merger, sale, lease, conveyance or other disposition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series and establish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our covenants for the benefit of the holders of all or any series of debt securities or to surrender any right or power conferred upon us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for the benefit of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 guarantor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of a successor trustee and to add to or change any of the provisions of the indenture or any supplemental indenture as shall be necessary to provide for or facilitate the administration of the trusts under such indenture or supplemental indenture by more than one trustee pursuant to the requirements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provisions of the indenture to the final offering document in respect of any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exceptions discussed below, we and the trustee may amend or supplement the indenture or the debt securities of a series with the written consent of the holders of at least a majority in principal amount of the debt securities of each series then outstanding affected by the amendment or supplement (voting as one class). In addition, the holders of a majority in principal amount of the debt securities of each series then outstanding affected by the waiver (voting as one class) may, without notice to any holder, waive any existing default under, or compliance with, any provision of the debt securities of each such series or of the indenture relating to each such series. These consents and waivers may be obtained in connection with a purchase of, or tender offer or exchange offer for,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However, without the consent of each holder affected, we and the trustee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principal of or interest thereon, or reduce the principal amount thereof or the rate of interest thereon or any premium payable upon the redemption thereof, or change the coin or currency in which, such debt securities or any premium or interest thereon is payable, or impair the right to institute suit for the enforcement of any such payment on or after the stated maturity thereof (or, in the case of redemption, on or after the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provision of the indenture relating to the waiver of past defaults, except to increase the percentage in principal amount of debt securities of any series the consent of whose holders is required for any waiver or to provide that certain other provisions of the indenture cannot be modified or waived without the consent of the holder of each outstanding note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continuing default or event of default in the payment of principal of or interest on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debt securities of any series the consent of whose holders is required for any amendment, supplement or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which changes or eliminates any covenant or other provision of the indenture which shall have been included expressly and solely for the benefit of one or more particular series of debt securities, or which modifies the rights of the holders of debt securities of such series with respect to such covenant or other provision, shall be deemed not to affect the rights of the holders of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right of any holder to participate in any consent required or sought pursuant to any provision of the indenture, and our obligation to obtain any such consent otherwise required from such holder, may be subject to the requirement that such holder shall have been the holder of record of debt securities with respect to which such consent is required or sought as of a record date fixed by us in accordance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in the Open Market </w:t>
      </w:r>
    </w:p>
    <w:p>
      <w:pPr>
        <w:pStyle w:val="TextBody"/>
        <w:bidi w:val="0"/>
        <w:spacing w:before="120" w:after="0"/>
        <w:jc w:val="left"/>
        <w:rPr>
          <w:rFonts w:ascii="Times New Roman" w:hAnsi="Times New Roman"/>
          <w:sz w:val="20"/>
        </w:rPr>
      </w:pPr>
      <w:r>
        <w:rPr>
          <w:rFonts w:ascii="Times New Roman" w:hAnsi="Times New Roman"/>
          <w:sz w:val="20"/>
        </w:rPr>
        <w:t xml:space="preserve">We or any of our affiliates may at any time or from time to time repurchase any of the debt securities in the open market or otherwise. Such debt securities may, at our or the applicable affiliate’s option, be held, resold or surrendered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No Recourse against Others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a director, officer, employee or stockholder, as such, of the Company shall not have any liability for any obligations of the Company under the debt securities or the indenture or for any claim based on, in respect of or by reason of, such obligations or their creation.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laws of the State of New York will govern the indenture and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49476_9"/>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49476_10"/>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your series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including modifying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the accompanying prospectus supplement states otherwise, 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the accompanying prospectus supplement states otherwise, 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49476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0"/>
        <w:gridCol w:w="101"/>
        <w:gridCol w:w="9086"/>
      </w:tblGrid>
      <w:tr>
        <w:trPr/>
        <w:tc>
          <w:tcPr>
            <w:tcW w:w="91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1"/>
        <w:gridCol w:w="9085"/>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1"/>
        <w:gridCol w:w="9085"/>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0"/>
        <w:gridCol w:w="9087"/>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Select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the Nasdaq Global Select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12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1"/>
        <w:gridCol w:w="9086"/>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0"/>
        <w:gridCol w:w="9087"/>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1"/>
        <w:gridCol w:w="9085"/>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2"/>
        <w:gridCol w:w="101"/>
        <w:gridCol w:w="9085"/>
      </w:tblGrid>
      <w:tr>
        <w:trPr/>
        <w:tc>
          <w:tcPr>
            <w:tcW w:w="91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1"/>
        <w:gridCol w:w="102"/>
        <w:gridCol w:w="9084"/>
      </w:tblGrid>
      <w:tr>
        <w:trPr/>
        <w:tc>
          <w:tcPr>
            <w:tcW w:w="91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102"/>
        <w:gridCol w:w="101"/>
        <w:gridCol w:w="9084"/>
      </w:tblGrid>
      <w:tr>
        <w:trPr/>
        <w:tc>
          <w:tcPr>
            <w:tcW w:w="91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101"/>
        <w:gridCol w:w="100"/>
        <w:gridCol w:w="9087"/>
      </w:tblGrid>
      <w:tr>
        <w:trPr/>
        <w:tc>
          <w:tcPr>
            <w:tcW w:w="917"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offer, other than our shares of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49476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oc149476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49476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Our filings are available to the public on the Internet, through a database maintained by the SEC at </w:t>
      </w:r>
      <w:r>
        <w:rPr>
          <w:rFonts w:ascii="Times New Roman" w:hAnsi="Times New Roman"/>
          <w:i/>
          <w:sz w:val="20"/>
        </w:rPr>
        <w:t>http://www.sec.gov</w:t>
      </w:r>
      <w:r>
        <w:rPr>
          <w:rFonts w:ascii="Times New Roman" w:hAnsi="Times New Roman"/>
          <w:sz w:val="20"/>
        </w:rPr>
        <w:t xml:space="preserve">. We also maintain a website at </w:t>
      </w:r>
      <w:r>
        <w:rPr>
          <w:rFonts w:ascii="Times New Roman" w:hAnsi="Times New Roman"/>
          <w:i/>
          <w:sz w:val="20"/>
        </w:rPr>
        <w:t>www.cogentbio.com</w:t>
      </w:r>
      <w:r>
        <w:rPr>
          <w:rFonts w:ascii="Times New Roman" w:hAnsi="Times New Roman"/>
          <w:sz w:val="20"/>
        </w:rPr>
        <w:t xml:space="preserve">.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49476_15"/>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not deemed to be filed) following the filing of this prospectus until the offering of the securities under this prospectus is terminated or completed, except that we are not incorporating by reference any information furnished (and not filed) with the SEC, including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February  25, 2025, including the Part III information incorporated by reference from our </w:t>
            </w:r>
            <w:hyperlink r:id="rId11">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2">
              <w:r>
                <w:rPr>
                  <w:rStyle w:val="InternetLink"/>
                  <w:rFonts w:ascii="Times New Roman" w:hAnsi="Times New Roman"/>
                  <w:sz w:val="20"/>
                </w:rPr>
                <w:t>March 31, 2025</w:t>
              </w:r>
            </w:hyperlink>
            <w:r>
              <w:rPr>
                <w:rFonts w:ascii="Times New Roman" w:hAnsi="Times New Roman"/>
                <w:sz w:val="20"/>
              </w:rPr>
              <w:t xml:space="preserve"> filed with the SEC on May 6, 2025, </w:t>
            </w:r>
            <w:hyperlink r:id="rId13">
              <w:r>
                <w:rPr>
                  <w:rStyle w:val="InternetLink"/>
                  <w:rFonts w:ascii="Times New Roman" w:hAnsi="Times New Roman"/>
                  <w:sz w:val="20"/>
                </w:rPr>
                <w:t>June 30, 2025</w:t>
              </w:r>
            </w:hyperlink>
            <w:r>
              <w:rPr>
                <w:rFonts w:ascii="Times New Roman" w:hAnsi="Times New Roman"/>
                <w:sz w:val="20"/>
              </w:rPr>
              <w:t xml:space="preserve"> filed with the SEC on August 5, 2025 and </w:t>
            </w:r>
            <w:hyperlink r:id="rId14">
              <w:r>
                <w:rPr>
                  <w:rStyle w:val="InternetLink"/>
                  <w:rFonts w:ascii="Times New Roman" w:hAnsi="Times New Roman"/>
                  <w:sz w:val="20"/>
                </w:rPr>
                <w:t>September 30, 2025</w:t>
              </w:r>
            </w:hyperlink>
            <w:r>
              <w:rPr>
                <w:rFonts w:ascii="Times New Roman" w:hAnsi="Times New Roman"/>
                <w:sz w:val="20"/>
              </w:rPr>
              <w:t xml:space="preserve"> filed with the SEC on November 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15">
              <w:r>
                <w:rPr>
                  <w:rStyle w:val="InternetLink"/>
                  <w:rFonts w:ascii="Times New Roman" w:hAnsi="Times New Roman"/>
                  <w:sz w:val="20"/>
                </w:rPr>
                <w:t>June 5, 2025</w:t>
              </w:r>
            </w:hyperlink>
            <w:r>
              <w:rPr>
                <w:rFonts w:ascii="Times New Roman" w:hAnsi="Times New Roman"/>
                <w:sz w:val="20"/>
              </w:rPr>
              <w:t>, </w:t>
            </w:r>
            <w:hyperlink r:id="rId16">
              <w:r>
                <w:rPr>
                  <w:rStyle w:val="InternetLink"/>
                  <w:rFonts w:ascii="Times New Roman" w:hAnsi="Times New Roman"/>
                  <w:sz w:val="20"/>
                </w:rPr>
                <w:t>June 11, 2025</w:t>
              </w:r>
            </w:hyperlink>
            <w:r>
              <w:rPr>
                <w:rFonts w:ascii="Times New Roman" w:hAnsi="Times New Roman"/>
                <w:sz w:val="20"/>
              </w:rPr>
              <w:t xml:space="preserve">,  </w:t>
            </w:r>
            <w:hyperlink r:id="rId17">
              <w:r>
                <w:rPr>
                  <w:rStyle w:val="InternetLink"/>
                  <w:rFonts w:ascii="Times New Roman" w:hAnsi="Times New Roman"/>
                  <w:sz w:val="20"/>
                </w:rPr>
                <w:t>July 7, 2025</w:t>
              </w:r>
            </w:hyperlink>
            <w:r>
              <w:rPr>
                <w:rFonts w:ascii="Times New Roman" w:hAnsi="Times New Roman"/>
                <w:sz w:val="20"/>
              </w:rPr>
              <w:t xml:space="preserve">,  </w:t>
            </w:r>
            <w:hyperlink r:id="rId18">
              <w:r>
                <w:rPr>
                  <w:rStyle w:val="InternetLink"/>
                  <w:rFonts w:ascii="Times New Roman" w:hAnsi="Times New Roman"/>
                  <w:sz w:val="20"/>
                </w:rPr>
                <w:t>July  10, 2025</w:t>
              </w:r>
            </w:hyperlink>
            <w:r>
              <w:rPr>
                <w:rFonts w:ascii="Times New Roman" w:hAnsi="Times New Roman"/>
                <w:sz w:val="20"/>
              </w:rPr>
              <w:t xml:space="preserve"> and </w:t>
            </w:r>
            <w:hyperlink r:id="rId19">
              <w:r>
                <w:rPr>
                  <w:rStyle w:val="InternetLink"/>
                  <w:rFonts w:ascii="Times New Roman" w:hAnsi="Times New Roman"/>
                  <w:sz w:val="20"/>
                </w:rPr>
                <w:t>September 11,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2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as filed with the SEC on February 25, 2025,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contacting us, either orally or in writing,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Cogent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275 Wyman Street, 3rd Floor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(617) 945-5576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t>
      </w:r>
      <w:r>
        <w:rPr>
          <w:rFonts w:ascii="Times New Roman" w:hAnsi="Times New Roman"/>
          <w:i/>
          <w:sz w:val="20"/>
        </w:rPr>
        <w:t>www.cogentbio.com</w:t>
      </w:r>
      <w:r>
        <w:rPr>
          <w:rFonts w:ascii="Times New Roman" w:hAnsi="Times New Roman"/>
          <w:sz w:val="20"/>
        </w:rPr>
        <w:t xml:space="preserve">.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any materials we file with the SEC at the SEC’s website mentioned under the heading “Where You Can Find More Information.” The information on the SEC’s website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28"/>
        </w:rPr>
      </w:pPr>
      <w:r>
        <w:rPr>
          <w:rFonts w:ascii="Times New Roman" w:hAnsi="Times New Roman"/>
          <w:b/>
          <w:sz w:val="28"/>
        </w:rPr>
        <w:t xml:space="preserve">Up to $400,000,000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494790" cy="6591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494790" cy="659130"/>
                    </a:xfrm>
                    <a:prstGeom prst="rect">
                      <a:avLst/>
                    </a:prstGeom>
                  </pic:spPr>
                </pic:pic>
              </a:graphicData>
            </a:graphic>
          </wp:inline>
        </w:drawing>
      </w:r>
      <w:r>
        <w:rPr/>
        <w:t xml:space="preserve"> </w:t>
      </w:r>
    </w:p>
    <w:p>
      <w:pPr>
        <w:pStyle w:val="TextBody"/>
        <w:bidi w:val="0"/>
        <w:spacing w:before="8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920" w:after="0"/>
        <w:jc w:val="center"/>
        <w:rPr>
          <w:rFonts w:ascii="Times New Roman" w:hAnsi="Times New Roman"/>
          <w:b/>
          <w:sz w:val="28"/>
        </w:rPr>
      </w:pPr>
      <w:r>
        <w:rPr>
          <w:rFonts w:ascii="Times New Roman" w:hAnsi="Times New Roman"/>
          <w:b/>
          <w:sz w:val="28"/>
        </w:rPr>
        <w:t xml:space="preserve">Guggenheim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sz w:val="20"/>
        </w:rPr>
      </w:pPr>
      <w:r>
        <w:rPr>
          <w:rFonts w:ascii="Times New Roman" w:hAnsi="Times New Roman"/>
          <w:b/>
          <w:sz w:val="20"/>
        </w:rPr>
        <w:t>August</w:t>
      </w:r>
      <w:r>
        <w:rPr>
          <w:rFonts w:ascii="Times New Roman" w:hAnsi="Times New Roman"/>
          <w:sz w:val="20"/>
        </w:rPr>
        <w:t> </w:t>
      </w:r>
      <w:r>
        <w:rPr>
          <w:rFonts w:ascii="Times New Roman" w:hAnsi="Times New Roman"/>
          <w:b/>
          <w:sz w:val="20"/>
        </w:rPr>
        <w:t>10, 2026</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149476dexfilingfees.htm"/>
      <w:bookmarkStart w:id="32" w:name="ksd149476dexfilingfees"/>
      <w:bookmarkStart w:id="33" w:name="d149476dexfilingfees.htm"/>
      <w:bookmarkStart w:id="34" w:name="ksd149476dexfilingfees"/>
      <w:bookmarkEnd w:id="33"/>
      <w:bookmarkEnd w:id="34"/>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Cogent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$ 55,240.00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$ 400,000,000.00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
        <w:gridCol w:w="1294"/>
        <w:gridCol w:w="8696"/>
      </w:tblGrid>
      <w:tr>
        <w:trPr/>
        <w:tc>
          <w:tcPr>
            <w:tcW w:w="21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0" w:type="dxa"/>
            <w:gridSpan w:val="2"/>
            <w:tcBorders/>
            <w:vAlign w:val="center"/>
          </w:tcPr>
          <w:p>
            <w:pPr>
              <w:pStyle w:val="TableContents"/>
              <w:bidi w:val="0"/>
              <w:spacing w:before="0" w:after="283"/>
              <w:jc w:val="left"/>
              <w:rPr/>
            </w:pPr>
            <w:r>
              <w:rPr/>
              <w:t xml:space="preserve">The registration fee is calculated in accordance with Rule 457(r) of the Securities Act and represents deferred payment of the registration fees in connection with the Registrant's registration statement on Form S-3ASR (Registration No. 333-291384) paid with the filing of this prospectus supplement.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22229/000119312526053334/cogt-20251231.htm" TargetMode="External"/><Relationship Id="rId4" Type="http://schemas.openxmlformats.org/officeDocument/2006/relationships/hyperlink" Target="http://www.sec.gov/Archives/edgar/data/../../../ix?doc=/Archives/edgar/data/1622229/000119312526173834/d68009ddef14a.htm" TargetMode="External"/><Relationship Id="rId5" Type="http://schemas.openxmlformats.org/officeDocument/2006/relationships/hyperlink" Target="http://www.sec.gov/Archives/edgar/data/../../../ix?doc=/Archives/edgar/data/1622229/000119312526205170/cogt-20260331.htm" TargetMode="External"/><Relationship Id="rId6" Type="http://schemas.openxmlformats.org/officeDocument/2006/relationships/hyperlink" Target="http://www.sec.gov/Archives/edgar/data/../../../ix?doc=/Archives/edgar/data/1622229/000119312526342393/cogt-20260630.htm" TargetMode="External"/><Relationship Id="rId7" Type="http://schemas.openxmlformats.org/officeDocument/2006/relationships/hyperlink" Target="http://www.sec.gov/Archives/edgar/data/../../../ix?doc=/Archives/edgar/data/1622229/000119312526267566/d100263d8k.htm" TargetMode="External"/><Relationship Id="rId8" Type="http://schemas.openxmlformats.org/officeDocument/2006/relationships/hyperlink" Target="http://www.sec.gov/Archives/edgar/data/1622229/000119312526053334/cogt-ex4_1.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0001622229/000095017025026115/cogt-20241231.htm" TargetMode="External"/><Relationship Id="rId11" Type="http://schemas.openxmlformats.org/officeDocument/2006/relationships/hyperlink" Target="http://www.sec.gov/Archives/edgar/data/../../../ix?doc=/Archives/edgar/data/0001622229/000119312525089237/d873012ddef14a.htm" TargetMode="External"/><Relationship Id="rId12" Type="http://schemas.openxmlformats.org/officeDocument/2006/relationships/hyperlink" Target="http://www.sec.gov/Archives/edgar/data/../../../ix?doc=/Archives/edgar/data/1622229/000095017025064005/cogt-20250331.htm" TargetMode="External"/><Relationship Id="rId13" Type="http://schemas.openxmlformats.org/officeDocument/2006/relationships/hyperlink" Target="http://www.sec.gov/Archives/edgar/data/../../../ix?doc=/Archives/edgar/data/1622229/000095017025102440/cogt-20250630.htm" TargetMode="External"/><Relationship Id="rId14" Type="http://schemas.openxmlformats.org/officeDocument/2006/relationships/hyperlink" Target="http://www.sec.gov/Archives/edgar/data/../../../ix?doc=/Archives/edgar/data/1622229/000119312525272334/cogt-20250930.htm" TargetMode="External"/><Relationship Id="rId15" Type="http://schemas.openxmlformats.org/officeDocument/2006/relationships/hyperlink" Target="http://www.sec.gov/Archives/edgar/data/../../../ix?doc=/Archives/edgar/data/1622229/000119312525135337/d20143d8k.htm" TargetMode="External"/><Relationship Id="rId16" Type="http://schemas.openxmlformats.org/officeDocument/2006/relationships/hyperlink" Target="http://www.sec.gov/Archives/edgar/data/../../../ix?doc=/Archives/edgar/data/1622229/000119312525138813/d21181d8k.htm" TargetMode="External"/><Relationship Id="rId17" Type="http://schemas.openxmlformats.org/officeDocument/2006/relationships/hyperlink" Target="http://www.sec.gov/Archives/edgar/data/../../../ix?doc=/Archives/edgar/data/1622229/000119312525155811/d156610d8k.htm" TargetMode="External"/><Relationship Id="rId18" Type="http://schemas.openxmlformats.org/officeDocument/2006/relationships/hyperlink" Target="http://www.sec.gov/Archives/edgar/data/../../../ix?doc=/Archives/edgar/data/1622229/000119312525157390/d92808d8k.htm" TargetMode="External"/><Relationship Id="rId19" Type="http://schemas.openxmlformats.org/officeDocument/2006/relationships/hyperlink" Target="http://www.sec.gov/Archives/edgar/data/../../../ix?doc=/Archives/edgar/data/1622229/000119312525201353/d947118d8k.htm" TargetMode="External"/><Relationship Id="rId20" Type="http://schemas.openxmlformats.org/officeDocument/2006/relationships/hyperlink" Target="http://www.sec.gov/Archives/edgar/data/1622229/000095017025026115/cogt-ex4_1.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21085</Words>
  <Characters>110947</Characters>
  <CharactersWithSpaces>132539</CharactersWithSpaces>
  <Paragraphs>1665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