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4156d8k.htm"/>
      <w:bookmarkStart w:id="1" w:name="ksd1841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COGENT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46-5308248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180 Third Avenue, 4th Floor</w:t>
            </w:r>
          </w:p>
          <w:p>
            <w:pPr>
              <w:pStyle w:val="TableContents"/>
              <w:bidi w:val="0"/>
              <w:spacing w:before="0" w:after="20"/>
              <w:jc w:val="center"/>
              <w:rPr>
                <w:rFonts w:ascii="Times New Roman" w:hAnsi="Times New Roman"/>
                <w:b/>
                <w:sz w:val="20"/>
              </w:rPr>
            </w:pPr>
            <w:r>
              <w:rPr>
                <w:rFonts w:ascii="Times New Roman" w:hAnsi="Times New Roman"/>
                <w:b/>
                <w:sz w:val="20"/>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945-5576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3260"/>
        <w:gridCol w:w="60"/>
        <w:gridCol w:w="740"/>
        <w:gridCol w:w="60"/>
        <w:gridCol w:w="3260"/>
      </w:tblGrid>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6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COGT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 2026, Cogent Biosciences, Inc. (the “Company”) entered into a Commercial Supply Agreement (the “Agreement”) with Hovione FarmaCiencia S.A. (“Hovione”) to manufacture bezuclastinib spray-dried dispersion and bezuclastinib tablets (“Product”). The Agreement provides that the Company will purchase Product pursuant to rolling forecasts and will purchase specified minimum percentages of its requirements for each Product from Hovione, which percentages decrease over the term of the Agreement. Each forecast is updated quarterly, with a specified near-term portion binding on both parties and the balance constituting non-binding, good faith estimates subject to specified adjustment limits. The Agreement will remain in effect for an initial five-year term, followed by successive automatic two-year renewals. Either party may terminate the Agreement by written notice delivered a specified period prior to commencement of the applicable renewal term. In addition, either party has the right to terminate the Agreement in certain circumstances, including the other party’s uncured breach, a prolonged force majeure event, insolvency and specified regulatory and legal developments affecting the Product or its manufacture.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the terms and conditions of the Agreement, which will be filed, with certain confidential information omitted, as an exhibit to the Company’s quarterly report on Form 10-Q for the quarter ending September 30,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24" w:type="dxa"/>
        <w:jc w:val="left"/>
        <w:tblInd w:w="0" w:type="dxa"/>
        <w:tblLayout w:type="fixed"/>
        <w:tblCellMar>
          <w:top w:w="0" w:type="dxa"/>
          <w:left w:w="0" w:type="dxa"/>
          <w:bottom w:w="0" w:type="dxa"/>
          <w:right w:w="0" w:type="dxa"/>
        </w:tblCellMar>
      </w:tblPr>
      <w:tblGrid>
        <w:gridCol w:w="749"/>
        <w:gridCol w:w="1184"/>
        <w:gridCol w:w="456"/>
        <w:gridCol w:w="60"/>
        <w:gridCol w:w="365"/>
        <w:gridCol w:w="60"/>
        <w:gridCol w:w="4250"/>
      </w:tblGrid>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 September 2, 2026</w:t>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COGENT BIOSCIENCES, INC.</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Evan Kearns</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Evan Kearns</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575</Words>
  <Characters>3299</Characters>
  <CharactersWithSpaces>3863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